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97408" w14:textId="4B5B96F9" w:rsidR="00D3462F" w:rsidRDefault="00D3462F" w:rsidP="00B948B6">
      <w:pPr>
        <w:tabs>
          <w:tab w:val="left" w:pos="2895"/>
        </w:tabs>
        <w:spacing w:before="120" w:after="160"/>
        <w:jc w:val="both"/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szCs w:val="20"/>
          <w:lang w:val="fr-FR"/>
        </w:rPr>
        <w:t>Nom de l’établissement :</w:t>
      </w:r>
    </w:p>
    <w:p w14:paraId="2FC0D443" w14:textId="788A43D6" w:rsidR="00993FCA" w:rsidRPr="00B44C3F" w:rsidRDefault="00FF29C4" w:rsidP="00B948B6">
      <w:pPr>
        <w:tabs>
          <w:tab w:val="left" w:pos="2895"/>
        </w:tabs>
        <w:spacing w:before="120" w:after="160"/>
        <w:jc w:val="both"/>
        <w:rPr>
          <w:rFonts w:ascii="Arial" w:hAnsi="Arial" w:cs="Arial"/>
          <w:color w:val="7F7F7F" w:themeColor="text1" w:themeTint="80"/>
          <w:sz w:val="16"/>
          <w:szCs w:val="16"/>
          <w:lang w:val="fr-FR"/>
        </w:rPr>
      </w:pPr>
      <w:r w:rsidRPr="009825CC">
        <w:rPr>
          <w:rFonts w:ascii="Arial" w:hAnsi="Arial" w:cs="Arial"/>
          <w:szCs w:val="20"/>
          <w:lang w:val="fr-FR"/>
        </w:rPr>
        <w:t>Date de l’entrée en vigueur</w:t>
      </w:r>
      <w:r w:rsidR="00993FCA" w:rsidRPr="009825CC">
        <w:rPr>
          <w:rFonts w:ascii="Arial" w:hAnsi="Arial" w:cs="Arial"/>
          <w:szCs w:val="20"/>
          <w:lang w:val="fr-FR"/>
        </w:rPr>
        <w:t> :</w:t>
      </w:r>
      <w:r w:rsidR="00836866" w:rsidRPr="009825CC">
        <w:rPr>
          <w:rFonts w:ascii="Arial" w:hAnsi="Arial" w:cs="Arial"/>
          <w:szCs w:val="20"/>
          <w:lang w:val="fr-FR"/>
        </w:rPr>
        <w:t xml:space="preserve"> </w:t>
      </w:r>
      <w:r w:rsidR="009825CC" w:rsidRPr="00B44C3F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fr-FR"/>
        </w:rPr>
        <w:t>date de signature de l’adoption ou date postérieure à la signature déterminée par l’établissement</w:t>
      </w:r>
    </w:p>
    <w:p w14:paraId="1EFF97DB" w14:textId="27E67FF4" w:rsidR="00FF29C4" w:rsidRPr="00B44C3F" w:rsidRDefault="00FF29C4" w:rsidP="00B948B6">
      <w:pPr>
        <w:spacing w:before="120" w:after="160"/>
        <w:jc w:val="both"/>
        <w:rPr>
          <w:rFonts w:ascii="Arial" w:hAnsi="Arial" w:cs="Arial"/>
          <w:color w:val="7F7F7F" w:themeColor="text1" w:themeTint="80"/>
          <w:szCs w:val="20"/>
          <w:lang w:val="fr-FR"/>
        </w:rPr>
      </w:pPr>
      <w:r w:rsidRPr="009825CC">
        <w:rPr>
          <w:rFonts w:ascii="Arial" w:hAnsi="Arial" w:cs="Arial"/>
          <w:szCs w:val="20"/>
          <w:lang w:val="fr-FR"/>
        </w:rPr>
        <w:t>Date de la dernière révision (s’il y a lieu) :</w:t>
      </w:r>
      <w:r w:rsidR="009825CC" w:rsidRPr="009825CC">
        <w:rPr>
          <w:rFonts w:ascii="Arial" w:hAnsi="Arial" w:cs="Arial"/>
          <w:szCs w:val="20"/>
          <w:lang w:val="fr-FR"/>
        </w:rPr>
        <w:t xml:space="preserve"> </w:t>
      </w:r>
    </w:p>
    <w:p w14:paraId="73A142E4" w14:textId="63898119" w:rsidR="00FF29C4" w:rsidRPr="00B44C3F" w:rsidRDefault="00FF29C4" w:rsidP="00B948B6">
      <w:pPr>
        <w:spacing w:before="120" w:after="160"/>
        <w:jc w:val="both"/>
        <w:rPr>
          <w:rFonts w:ascii="Arial" w:hAnsi="Arial" w:cs="Arial"/>
          <w:i/>
          <w:iCs/>
          <w:color w:val="7F7F7F" w:themeColor="text1" w:themeTint="80"/>
          <w:szCs w:val="20"/>
          <w:lang w:val="fr-FR"/>
        </w:rPr>
      </w:pPr>
      <w:r w:rsidRPr="009825CC">
        <w:rPr>
          <w:rFonts w:ascii="Arial" w:hAnsi="Arial" w:cs="Arial"/>
          <w:szCs w:val="20"/>
          <w:lang w:val="fr-FR"/>
        </w:rPr>
        <w:t>Date prévue de la prochaine révision :</w:t>
      </w:r>
      <w:r w:rsidR="009825CC" w:rsidRPr="009825CC">
        <w:rPr>
          <w:rFonts w:ascii="Arial" w:hAnsi="Arial" w:cs="Arial"/>
          <w:szCs w:val="20"/>
          <w:lang w:val="fr-FR"/>
        </w:rPr>
        <w:t xml:space="preserve"> </w:t>
      </w:r>
      <w:r w:rsidR="009825CC" w:rsidRPr="00B44C3F">
        <w:rPr>
          <w:rFonts w:ascii="Arial" w:hAnsi="Arial" w:cs="Arial"/>
          <w:i/>
          <w:iCs/>
          <w:color w:val="7F7F7F" w:themeColor="text1" w:themeTint="80"/>
          <w:sz w:val="16"/>
          <w:szCs w:val="16"/>
        </w:rPr>
        <w:t>durée de validité d’un maximum de 36 mois.</w:t>
      </w:r>
    </w:p>
    <w:p w14:paraId="1E13DDE6" w14:textId="5EA01A67" w:rsidR="00FF29C4" w:rsidRDefault="00FF29C4" w:rsidP="00B948B6">
      <w:pPr>
        <w:spacing w:before="120" w:after="160"/>
        <w:jc w:val="both"/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fr-FR"/>
        </w:rPr>
      </w:pPr>
      <w:r w:rsidRPr="009825CC">
        <w:rPr>
          <w:rFonts w:ascii="Arial" w:hAnsi="Arial" w:cs="Arial"/>
          <w:szCs w:val="20"/>
          <w:lang w:val="fr-FR"/>
        </w:rPr>
        <w:t>Référence à un protocole (s’il y a lieu) :</w:t>
      </w:r>
      <w:r w:rsidR="009825CC" w:rsidRPr="009825CC">
        <w:rPr>
          <w:rFonts w:ascii="Arial" w:hAnsi="Arial" w:cs="Arial"/>
          <w:szCs w:val="20"/>
          <w:lang w:val="fr-FR"/>
        </w:rPr>
        <w:t xml:space="preserve"> </w:t>
      </w:r>
      <w:r w:rsidR="009825CC" w:rsidRPr="00B44C3F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fr-FR"/>
        </w:rPr>
        <w:t>inscrire le # du protocole interne ou celui de l’INESSS et ajouter le lien Web</w:t>
      </w:r>
    </w:p>
    <w:p w14:paraId="21FDCD56" w14:textId="77777777" w:rsidR="00005565" w:rsidRPr="00005565" w:rsidRDefault="00005565" w:rsidP="00B948B6">
      <w:pPr>
        <w:pStyle w:val="FTexteespaceavant"/>
        <w:shd w:val="clear" w:color="auto" w:fill="FFFFFF" w:themeFill="background1"/>
        <w:spacing w:before="120" w:after="160" w:line="252" w:lineRule="auto"/>
        <w:rPr>
          <w:rStyle w:val="Textegras"/>
          <w:rFonts w:ascii="Arial" w:hAnsi="Arial" w:cs="Arial"/>
          <w:b w:val="0"/>
          <w:i/>
          <w:iCs/>
          <w:sz w:val="20"/>
          <w:szCs w:val="20"/>
        </w:rPr>
      </w:pPr>
      <w:r w:rsidRPr="00005565">
        <w:rPr>
          <w:rFonts w:ascii="Arial" w:hAnsi="Arial" w:cs="Arial"/>
          <w:i/>
          <w:iCs/>
          <w:sz w:val="20"/>
          <w:szCs w:val="20"/>
        </w:rPr>
        <w:t>L’initiation d’un test rapide d’identification du streptocoque de groupe A par une infirmière s’inscrit dans le cadre de l’activité réservée « Évaluer la condition physique et mentale d’une personne symptomatique ». Une ordonnance est toutefois requise pour demander une culture de gorge et initier un traitement pharmacologique.</w:t>
      </w:r>
    </w:p>
    <w:p w14:paraId="139BEBEE" w14:textId="77777777" w:rsidR="00993FCA" w:rsidRPr="00371EF7" w:rsidRDefault="00993FCA" w:rsidP="00192ED1">
      <w:pPr>
        <w:pStyle w:val="TitresansTM"/>
        <w:spacing w:before="120" w:after="120" w:line="252" w:lineRule="auto"/>
      </w:pPr>
      <w:r w:rsidRPr="00371EF7">
        <w:t>situation clinique ou clientèle</w:t>
      </w:r>
    </w:p>
    <w:p w14:paraId="53ADEE08" w14:textId="267F0944" w:rsidR="00BA7B7D" w:rsidRDefault="00005565" w:rsidP="00192ED1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szCs w:val="20"/>
        </w:rPr>
      </w:pPr>
      <w:bookmarkStart w:id="0" w:name="_Hlk157590722"/>
      <w:r>
        <w:rPr>
          <w:rFonts w:ascii="Arial" w:hAnsi="Arial" w:cs="Arial"/>
          <w:szCs w:val="20"/>
        </w:rPr>
        <w:t>Personne de 3 ans et plus qui présente un mal de gorge</w:t>
      </w:r>
      <w:r w:rsidRPr="002E462A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depuis moins </w:t>
      </w:r>
      <w:r w:rsidRPr="005F155D">
        <w:rPr>
          <w:rFonts w:ascii="Arial" w:hAnsi="Arial" w:cs="Arial"/>
          <w:szCs w:val="20"/>
        </w:rPr>
        <w:t>de 9 jours</w:t>
      </w:r>
      <w:r>
        <w:rPr>
          <w:rFonts w:ascii="Arial" w:hAnsi="Arial" w:cs="Arial"/>
          <w:szCs w:val="20"/>
        </w:rPr>
        <w:t>.</w:t>
      </w:r>
    </w:p>
    <w:bookmarkEnd w:id="0"/>
    <w:p w14:paraId="5B056B45" w14:textId="47A200C8" w:rsidR="00FF29C4" w:rsidRPr="00371EF7" w:rsidRDefault="00FF29C4" w:rsidP="00B948B6">
      <w:pPr>
        <w:pStyle w:val="TitresansTM"/>
        <w:spacing w:after="120" w:line="252" w:lineRule="auto"/>
      </w:pPr>
      <w:r>
        <w:t>Indications</w:t>
      </w:r>
    </w:p>
    <w:p w14:paraId="04543759" w14:textId="3E185EB7" w:rsidR="00005565" w:rsidRDefault="00885A58" w:rsidP="00B948B6">
      <w:pPr>
        <w:spacing w:before="120" w:after="60"/>
        <w:rPr>
          <w:rFonts w:ascii="Arial" w:hAnsi="Arial" w:cs="Arial"/>
          <w:szCs w:val="20"/>
        </w:rPr>
      </w:pPr>
      <w:bookmarkStart w:id="1" w:name="_Hlk157590772"/>
      <w:r>
        <w:rPr>
          <w:rFonts w:ascii="Arial" w:hAnsi="Arial" w:cs="Arial"/>
          <w:szCs w:val="20"/>
        </w:rPr>
        <w:t>P</w:t>
      </w:r>
      <w:r w:rsidR="00005565">
        <w:rPr>
          <w:rFonts w:ascii="Arial" w:hAnsi="Arial" w:cs="Arial"/>
          <w:szCs w:val="20"/>
        </w:rPr>
        <w:t xml:space="preserve">ersonne qui présente au moins un des signes et symptômes suivants: </w:t>
      </w:r>
    </w:p>
    <w:p w14:paraId="2DDBF466" w14:textId="136724A0" w:rsidR="00005565" w:rsidRPr="005F155D" w:rsidRDefault="00005565" w:rsidP="00B948B6">
      <w:pPr>
        <w:pStyle w:val="Paragraphedeliste"/>
        <w:numPr>
          <w:ilvl w:val="0"/>
          <w:numId w:val="9"/>
        </w:numPr>
        <w:spacing w:before="120" w:after="60"/>
        <w:contextualSpacing w:val="0"/>
        <w:rPr>
          <w:rFonts w:ascii="Arial" w:hAnsi="Arial" w:cs="Arial"/>
          <w:szCs w:val="20"/>
        </w:rPr>
      </w:pPr>
      <w:r w:rsidRPr="005F155D">
        <w:rPr>
          <w:rFonts w:ascii="Arial" w:hAnsi="Arial" w:cs="Arial"/>
          <w:szCs w:val="20"/>
        </w:rPr>
        <w:t>ganglions lymphatiques cervicaux antérieurs sensibles ou enflés;</w:t>
      </w:r>
    </w:p>
    <w:p w14:paraId="6A3BC731" w14:textId="77777777" w:rsidR="00005565" w:rsidRDefault="00005565" w:rsidP="00B948B6">
      <w:pPr>
        <w:pStyle w:val="Paragraphedeliste"/>
        <w:numPr>
          <w:ilvl w:val="0"/>
          <w:numId w:val="9"/>
        </w:numPr>
        <w:spacing w:before="120" w:after="60"/>
        <w:contextualSpacing w:val="0"/>
        <w:rPr>
          <w:rFonts w:ascii="Arial" w:hAnsi="Arial" w:cs="Arial"/>
          <w:szCs w:val="20"/>
        </w:rPr>
      </w:pPr>
      <w:r w:rsidRPr="0099029E">
        <w:rPr>
          <w:rFonts w:ascii="Arial" w:hAnsi="Arial" w:cs="Arial"/>
          <w:szCs w:val="20"/>
        </w:rPr>
        <w:t xml:space="preserve">exsudat </w:t>
      </w:r>
      <w:r>
        <w:rPr>
          <w:rFonts w:ascii="Arial" w:hAnsi="Arial" w:cs="Arial"/>
          <w:szCs w:val="20"/>
        </w:rPr>
        <w:t xml:space="preserve">ou enflure des </w:t>
      </w:r>
      <w:r w:rsidRPr="0099029E">
        <w:rPr>
          <w:rFonts w:ascii="Arial" w:hAnsi="Arial" w:cs="Arial"/>
          <w:szCs w:val="20"/>
        </w:rPr>
        <w:t>amygd</w:t>
      </w:r>
      <w:r>
        <w:rPr>
          <w:rFonts w:ascii="Arial" w:hAnsi="Arial" w:cs="Arial"/>
          <w:szCs w:val="20"/>
        </w:rPr>
        <w:t>al</w:t>
      </w:r>
      <w:r w:rsidRPr="0099029E">
        <w:rPr>
          <w:rFonts w:ascii="Arial" w:hAnsi="Arial" w:cs="Arial"/>
          <w:szCs w:val="20"/>
        </w:rPr>
        <w:t>es</w:t>
      </w:r>
      <w:r>
        <w:rPr>
          <w:rFonts w:ascii="Arial" w:hAnsi="Arial" w:cs="Arial"/>
          <w:szCs w:val="20"/>
        </w:rPr>
        <w:t>;</w:t>
      </w:r>
    </w:p>
    <w:p w14:paraId="12559059" w14:textId="77777777" w:rsidR="00005565" w:rsidRPr="00270052" w:rsidRDefault="00005565" w:rsidP="00192ED1">
      <w:pPr>
        <w:pStyle w:val="Paragraphedeliste"/>
        <w:numPr>
          <w:ilvl w:val="0"/>
          <w:numId w:val="9"/>
        </w:numPr>
        <w:spacing w:after="120"/>
        <w:contextualSpacing w:val="0"/>
        <w:rPr>
          <w:rFonts w:ascii="Arial" w:hAnsi="Arial" w:cs="Arial"/>
          <w:szCs w:val="20"/>
        </w:rPr>
      </w:pPr>
      <w:r w:rsidRPr="0099029E">
        <w:rPr>
          <w:rFonts w:ascii="Arial" w:hAnsi="Arial" w:cs="Arial"/>
          <w:szCs w:val="20"/>
        </w:rPr>
        <w:t>de</w:t>
      </w:r>
      <w:r>
        <w:rPr>
          <w:rFonts w:ascii="Arial" w:hAnsi="Arial" w:cs="Arial"/>
          <w:szCs w:val="20"/>
        </w:rPr>
        <w:t xml:space="preserve"> la</w:t>
      </w:r>
      <w:r w:rsidRPr="0099029E">
        <w:rPr>
          <w:rFonts w:ascii="Arial" w:hAnsi="Arial" w:cs="Arial"/>
          <w:szCs w:val="20"/>
        </w:rPr>
        <w:t xml:space="preserve"> fièvre supérieure à 38,0</w:t>
      </w:r>
      <w:r>
        <w:rPr>
          <w:rFonts w:ascii="Arial" w:hAnsi="Arial" w:cs="Arial"/>
          <w:szCs w:val="20"/>
        </w:rPr>
        <w:t> </w:t>
      </w:r>
      <w:r w:rsidRPr="0099029E">
        <w:rPr>
          <w:rFonts w:ascii="Arial" w:hAnsi="Arial" w:cs="Arial"/>
          <w:szCs w:val="20"/>
        </w:rPr>
        <w:t>°C (température buccale, rectale ou axillaire)</w:t>
      </w:r>
      <w:r w:rsidRPr="00270052">
        <w:rPr>
          <w:rFonts w:ascii="Arial" w:hAnsi="Arial" w:cs="Arial"/>
          <w:szCs w:val="20"/>
        </w:rPr>
        <w:t>.</w:t>
      </w:r>
    </w:p>
    <w:bookmarkEnd w:id="1"/>
    <w:p w14:paraId="038A3C29" w14:textId="236D3505" w:rsidR="00FF29C4" w:rsidRPr="00371EF7" w:rsidRDefault="00FF29C4" w:rsidP="00192ED1">
      <w:pPr>
        <w:pStyle w:val="TitresansTM"/>
        <w:spacing w:after="120" w:line="252" w:lineRule="auto"/>
      </w:pPr>
      <w:r>
        <w:t>Lieu de dispensation des services</w:t>
      </w:r>
    </w:p>
    <w:p w14:paraId="471EEDDD" w14:textId="42DAFEC5" w:rsidR="00F81EBD" w:rsidRPr="00B44C3F" w:rsidRDefault="00F81EBD" w:rsidP="00B948B6">
      <w:pPr>
        <w:spacing w:before="120" w:after="60"/>
        <w:jc w:val="both"/>
        <w:rPr>
          <w:rFonts w:ascii="Arial" w:hAnsi="Arial" w:cs="Arial"/>
          <w:i/>
          <w:iCs/>
          <w:color w:val="7F7F7F" w:themeColor="text1" w:themeTint="80"/>
          <w:szCs w:val="20"/>
        </w:rPr>
      </w:pP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 xml:space="preserve">Identifier le(s) </w:t>
      </w:r>
      <w:r w:rsidRPr="00B44C3F">
        <w:rPr>
          <w:rFonts w:ascii="Arial" w:hAnsi="Arial" w:cs="Arial"/>
          <w:b/>
          <w:bCs/>
          <w:i/>
          <w:iCs/>
          <w:color w:val="7F7F7F" w:themeColor="text1" w:themeTint="80"/>
          <w:szCs w:val="20"/>
        </w:rPr>
        <w:t xml:space="preserve">secteur(s) </w:t>
      </w: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 xml:space="preserve">(ex. : obstétrique, SAD) ou le(s) </w:t>
      </w:r>
      <w:r w:rsidRPr="00B44C3F">
        <w:rPr>
          <w:rFonts w:ascii="Arial" w:hAnsi="Arial" w:cs="Arial"/>
          <w:b/>
          <w:bCs/>
          <w:i/>
          <w:iCs/>
          <w:color w:val="7F7F7F" w:themeColor="text1" w:themeTint="80"/>
          <w:szCs w:val="20"/>
        </w:rPr>
        <w:t>lieu(s) rattaché(s) à un établissement</w:t>
      </w: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 xml:space="preserve"> (ex. : CLSC, CHSLD, CH) ou les </w:t>
      </w:r>
      <w:r w:rsidRPr="00B44C3F">
        <w:rPr>
          <w:rFonts w:ascii="Arial" w:hAnsi="Arial" w:cs="Arial"/>
          <w:b/>
          <w:bCs/>
          <w:i/>
          <w:iCs/>
          <w:color w:val="7F7F7F" w:themeColor="text1" w:themeTint="80"/>
          <w:szCs w:val="20"/>
        </w:rPr>
        <w:t>lieu(x) hors établissement</w:t>
      </w: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 xml:space="preserve"> (GMF, clinique privée, pharmacie communautaire).</w:t>
      </w:r>
    </w:p>
    <w:p w14:paraId="1B0D15C8" w14:textId="54860272" w:rsidR="00F81EBD" w:rsidRPr="00033F99" w:rsidRDefault="00F81EBD" w:rsidP="00192ED1">
      <w:pPr>
        <w:pStyle w:val="Paragraphedeliste"/>
        <w:numPr>
          <w:ilvl w:val="0"/>
          <w:numId w:val="9"/>
        </w:numPr>
        <w:spacing w:after="60"/>
        <w:ind w:left="714" w:hanging="357"/>
        <w:contextualSpacing w:val="0"/>
        <w:jc w:val="both"/>
        <w:rPr>
          <w:rFonts w:ascii="Arial" w:hAnsi="Arial" w:cs="Arial"/>
          <w:szCs w:val="18"/>
        </w:rPr>
      </w:pPr>
      <w:proofErr w:type="spellStart"/>
      <w:r w:rsidRPr="00033F99">
        <w:rPr>
          <w:rFonts w:ascii="Arial" w:hAnsi="Arial" w:cs="Arial"/>
          <w:szCs w:val="18"/>
        </w:rPr>
        <w:t>Xxxx</w:t>
      </w:r>
      <w:proofErr w:type="spellEnd"/>
    </w:p>
    <w:p w14:paraId="535B39B6" w14:textId="22DB71C4" w:rsidR="00FB0A20" w:rsidRPr="00033F99" w:rsidRDefault="00FB0A20" w:rsidP="00192ED1">
      <w:pPr>
        <w:pStyle w:val="Paragraphedeliste"/>
        <w:numPr>
          <w:ilvl w:val="0"/>
          <w:numId w:val="9"/>
        </w:numPr>
        <w:spacing w:after="60"/>
        <w:contextualSpacing w:val="0"/>
        <w:jc w:val="both"/>
        <w:rPr>
          <w:rFonts w:ascii="Arial" w:hAnsi="Arial" w:cs="Arial"/>
          <w:szCs w:val="18"/>
        </w:rPr>
      </w:pPr>
      <w:proofErr w:type="spellStart"/>
      <w:r w:rsidRPr="00033F99">
        <w:rPr>
          <w:rFonts w:ascii="Arial" w:hAnsi="Arial" w:cs="Arial"/>
          <w:szCs w:val="18"/>
        </w:rPr>
        <w:t>Xxxx</w:t>
      </w:r>
      <w:proofErr w:type="spellEnd"/>
    </w:p>
    <w:p w14:paraId="482ECCE3" w14:textId="148EB41C" w:rsidR="00FF29C4" w:rsidRPr="00371EF7" w:rsidRDefault="00FF29C4" w:rsidP="00192ED1">
      <w:pPr>
        <w:pStyle w:val="TitresansTM"/>
        <w:spacing w:after="120" w:line="252" w:lineRule="auto"/>
      </w:pPr>
      <w:r>
        <w:t xml:space="preserve">professionnel(s) </w:t>
      </w:r>
      <w:r w:rsidR="00577B56">
        <w:t>ou personne(S) habilitée(s</w:t>
      </w:r>
      <w:r>
        <w:t>)</w:t>
      </w:r>
    </w:p>
    <w:p w14:paraId="7F2E0311" w14:textId="2E54B455" w:rsidR="00FF29C4" w:rsidRPr="00B44C3F" w:rsidRDefault="00577B56" w:rsidP="00192ED1">
      <w:pPr>
        <w:shd w:val="clear" w:color="auto" w:fill="FFFFFF" w:themeFill="background1"/>
        <w:spacing w:before="240" w:after="120"/>
        <w:jc w:val="both"/>
        <w:rPr>
          <w:rFonts w:ascii="Arial" w:hAnsi="Arial" w:cs="Arial"/>
          <w:i/>
          <w:color w:val="7F7F7F" w:themeColor="text1" w:themeTint="80"/>
          <w:szCs w:val="20"/>
        </w:rPr>
      </w:pPr>
      <w:r w:rsidRPr="00B44C3F">
        <w:rPr>
          <w:rFonts w:ascii="Arial" w:hAnsi="Arial" w:cs="Arial"/>
          <w:i/>
          <w:color w:val="7F7F7F" w:themeColor="text1" w:themeTint="80"/>
          <w:szCs w:val="20"/>
        </w:rPr>
        <w:t>Identifier le professionnel autorisé ou la personne habilitée à appliquer l’ordonnance collective pour l’exercice d’une activité professionnelle. Il se peut que des qualifications ou de la formation soient requises</w:t>
      </w:r>
    </w:p>
    <w:p w14:paraId="1FA2AAA1" w14:textId="0B3E6FA2" w:rsidR="00577B56" w:rsidRPr="00B44C3F" w:rsidRDefault="00577B56" w:rsidP="00192ED1">
      <w:pPr>
        <w:spacing w:before="60" w:after="60"/>
        <w:jc w:val="both"/>
        <w:rPr>
          <w:rFonts w:ascii="Arial" w:hAnsi="Arial" w:cs="Arial"/>
          <w:i/>
          <w:iCs/>
          <w:color w:val="7F7F7F" w:themeColor="text1" w:themeTint="80"/>
          <w:szCs w:val="20"/>
        </w:rPr>
      </w:pP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>Exemple : Les infirmières clinicienne ayant suivi la formation « x » disponible dans le site Web de l’</w:t>
      </w:r>
      <w:r w:rsidRPr="00B44C3F">
        <w:rPr>
          <w:rFonts w:ascii="Arial" w:eastAsiaTheme="minorHAnsi" w:hAnsi="Arial" w:cs="Arial"/>
          <w:color w:val="7F7F7F" w:themeColor="text1" w:themeTint="80"/>
          <w:szCs w:val="20"/>
          <w:lang w:eastAsia="fr-CA"/>
        </w:rPr>
        <w:t>e</w:t>
      </w: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>nvironnement numérique d’apprentissage (ENA)</w:t>
      </w:r>
    </w:p>
    <w:p w14:paraId="75CE3785" w14:textId="0D94776C" w:rsidR="00B44C3F" w:rsidRDefault="00B44C3F" w:rsidP="00192ED1">
      <w:pPr>
        <w:numPr>
          <w:ilvl w:val="0"/>
          <w:numId w:val="9"/>
        </w:numPr>
        <w:shd w:val="clear" w:color="auto" w:fill="FFFFFF" w:themeFill="background1"/>
        <w:spacing w:before="60" w:after="60"/>
        <w:jc w:val="both"/>
        <w:rPr>
          <w:rFonts w:ascii="Arial" w:hAnsi="Arial" w:cs="Arial"/>
          <w:iCs/>
          <w:szCs w:val="20"/>
        </w:rPr>
      </w:pPr>
      <w:proofErr w:type="spellStart"/>
      <w:r w:rsidRPr="00B44C3F">
        <w:rPr>
          <w:rFonts w:ascii="Arial" w:hAnsi="Arial" w:cs="Arial"/>
          <w:iCs/>
          <w:szCs w:val="20"/>
        </w:rPr>
        <w:t>Xxxx</w:t>
      </w:r>
      <w:proofErr w:type="spellEnd"/>
    </w:p>
    <w:p w14:paraId="13B6334B" w14:textId="1E6236D8" w:rsidR="00B44C3F" w:rsidRPr="00B44C3F" w:rsidRDefault="00FB0A20" w:rsidP="00192ED1">
      <w:pPr>
        <w:numPr>
          <w:ilvl w:val="0"/>
          <w:numId w:val="9"/>
        </w:numPr>
        <w:shd w:val="clear" w:color="auto" w:fill="FFFFFF" w:themeFill="background1"/>
        <w:spacing w:before="60" w:after="60"/>
        <w:jc w:val="both"/>
        <w:rPr>
          <w:rFonts w:ascii="Arial" w:hAnsi="Arial" w:cs="Arial"/>
          <w:iCs/>
          <w:szCs w:val="20"/>
        </w:rPr>
      </w:pPr>
      <w:proofErr w:type="spellStart"/>
      <w:r>
        <w:rPr>
          <w:rFonts w:ascii="Arial" w:hAnsi="Arial" w:cs="Arial"/>
          <w:iCs/>
          <w:szCs w:val="20"/>
        </w:rPr>
        <w:t>Xxxx</w:t>
      </w:r>
      <w:proofErr w:type="spellEnd"/>
    </w:p>
    <w:p w14:paraId="2523DDD5" w14:textId="77777777" w:rsidR="00577B56" w:rsidRPr="00371EF7" w:rsidRDefault="00577B56" w:rsidP="00192ED1">
      <w:pPr>
        <w:pStyle w:val="TitresansTM"/>
        <w:spacing w:after="60" w:line="252" w:lineRule="auto"/>
      </w:pPr>
      <w:r>
        <w:t>Activité(s) professionnelle(s) visée(s)</w:t>
      </w:r>
    </w:p>
    <w:p w14:paraId="28BEC4FE" w14:textId="3009F34B" w:rsidR="00577B56" w:rsidRPr="00B44C3F" w:rsidRDefault="00577B56" w:rsidP="00192ED1">
      <w:pPr>
        <w:shd w:val="clear" w:color="auto" w:fill="FFFFFF" w:themeFill="background1"/>
        <w:spacing w:before="240" w:after="120"/>
        <w:jc w:val="both"/>
        <w:rPr>
          <w:rFonts w:ascii="Arial" w:hAnsi="Arial" w:cs="Arial"/>
          <w:i/>
          <w:color w:val="4F81BD" w:themeColor="accent1"/>
          <w:szCs w:val="20"/>
        </w:rPr>
      </w:pPr>
      <w:r w:rsidRPr="00B44C3F">
        <w:rPr>
          <w:rFonts w:ascii="Arial" w:hAnsi="Arial" w:cs="Arial"/>
          <w:i/>
          <w:color w:val="7F7F7F" w:themeColor="text1" w:themeTint="80"/>
          <w:szCs w:val="20"/>
        </w:rPr>
        <w:t>L’ordonnance collective doit établir la ou les activités réservées aux personnes habilitées qui sont visées par l’ordonnance.</w:t>
      </w:r>
      <w:r w:rsidR="00C1366A">
        <w:rPr>
          <w:rFonts w:ascii="Arial" w:hAnsi="Arial" w:cs="Arial"/>
          <w:i/>
          <w:color w:val="7F7F7F" w:themeColor="text1" w:themeTint="80"/>
          <w:szCs w:val="20"/>
        </w:rPr>
        <w:t xml:space="preserve"> </w:t>
      </w:r>
      <w:r w:rsidRPr="00577B56">
        <w:rPr>
          <w:rFonts w:ascii="Arial" w:hAnsi="Arial" w:cs="Arial"/>
          <w:i/>
          <w:color w:val="7F7F7F" w:themeColor="text1" w:themeTint="80"/>
          <w:szCs w:val="20"/>
        </w:rPr>
        <w:t>Une liste regroupant les activités pouvant être effectuées</w:t>
      </w:r>
      <w:r w:rsidRPr="00B44C3F">
        <w:rPr>
          <w:rFonts w:ascii="Arial" w:hAnsi="Arial" w:cs="Arial"/>
          <w:i/>
          <w:color w:val="7F7F7F" w:themeColor="text1" w:themeTint="80"/>
          <w:szCs w:val="20"/>
        </w:rPr>
        <w:t xml:space="preserve"> </w:t>
      </w:r>
      <w:r w:rsidRPr="00577B56">
        <w:rPr>
          <w:rFonts w:ascii="Arial" w:hAnsi="Arial" w:cs="Arial"/>
          <w:i/>
          <w:color w:val="7F7F7F" w:themeColor="text1" w:themeTint="80"/>
          <w:szCs w:val="20"/>
        </w:rPr>
        <w:t>sous ordonnance collective est disponible dans le site</w:t>
      </w:r>
      <w:r w:rsidRPr="00B44C3F">
        <w:rPr>
          <w:rFonts w:ascii="Arial" w:hAnsi="Arial" w:cs="Arial"/>
          <w:i/>
          <w:color w:val="7F7F7F" w:themeColor="text1" w:themeTint="80"/>
          <w:szCs w:val="20"/>
        </w:rPr>
        <w:t xml:space="preserve"> </w:t>
      </w:r>
      <w:r w:rsidRPr="00577B56">
        <w:rPr>
          <w:rFonts w:ascii="Arial" w:hAnsi="Arial" w:cs="Arial"/>
          <w:i/>
          <w:color w:val="7F7F7F" w:themeColor="text1" w:themeTint="80"/>
          <w:szCs w:val="20"/>
        </w:rPr>
        <w:t xml:space="preserve">Web du Collège des médecins du Québec </w:t>
      </w:r>
      <w:hyperlink r:id="rId8" w:history="1">
        <w:r w:rsidR="008833FF" w:rsidRPr="00B44C3F">
          <w:rPr>
            <w:rStyle w:val="Lienhypertexte"/>
            <w:rFonts w:ascii="Arial" w:hAnsi="Arial" w:cs="Arial"/>
            <w:i/>
            <w:color w:val="4F81BD" w:themeColor="accent1"/>
            <w:szCs w:val="20"/>
          </w:rPr>
          <w:t>Tableau des professionnels et intervenants pouvant répondre à une OC</w:t>
        </w:r>
      </w:hyperlink>
    </w:p>
    <w:p w14:paraId="5BDEC66A" w14:textId="7BADBE8C" w:rsidR="008833FF" w:rsidRPr="00B44C3F" w:rsidRDefault="008833FF" w:rsidP="00192ED1">
      <w:pPr>
        <w:shd w:val="clear" w:color="auto" w:fill="FFFFFF" w:themeFill="background1"/>
        <w:spacing w:before="120" w:after="120"/>
        <w:jc w:val="both"/>
        <w:rPr>
          <w:rFonts w:ascii="Arial" w:hAnsi="Arial" w:cs="Arial"/>
          <w:iCs/>
          <w:color w:val="7F7F7F" w:themeColor="text1" w:themeTint="80"/>
          <w:szCs w:val="20"/>
        </w:rPr>
      </w:pPr>
      <w:r w:rsidRPr="00B44C3F">
        <w:rPr>
          <w:rFonts w:ascii="Arial" w:hAnsi="Arial" w:cs="Arial"/>
          <w:i/>
          <w:color w:val="7F7F7F" w:themeColor="text1" w:themeTint="80"/>
          <w:szCs w:val="20"/>
        </w:rPr>
        <w:t>Exemple : Initier des mesures diagnostiques et thérapeutiques</w:t>
      </w:r>
      <w:r w:rsidR="00D3462F">
        <w:rPr>
          <w:rFonts w:ascii="Arial" w:hAnsi="Arial" w:cs="Arial"/>
          <w:i/>
          <w:color w:val="7F7F7F" w:themeColor="text1" w:themeTint="80"/>
          <w:szCs w:val="20"/>
        </w:rPr>
        <w:t xml:space="preserve"> </w:t>
      </w:r>
      <w:r w:rsidRPr="00B44C3F">
        <w:rPr>
          <w:rFonts w:ascii="Arial" w:hAnsi="Arial" w:cs="Arial"/>
          <w:i/>
          <w:color w:val="7F7F7F" w:themeColor="text1" w:themeTint="80"/>
          <w:szCs w:val="20"/>
        </w:rPr>
        <w:t>selon une ordonnance</w:t>
      </w:r>
    </w:p>
    <w:p w14:paraId="346860E7" w14:textId="580E6B60" w:rsidR="00B44C3F" w:rsidRDefault="00B44C3F" w:rsidP="00192ED1">
      <w:pPr>
        <w:numPr>
          <w:ilvl w:val="0"/>
          <w:numId w:val="9"/>
        </w:numPr>
        <w:shd w:val="clear" w:color="auto" w:fill="FFFFFF" w:themeFill="background1"/>
        <w:spacing w:before="120" w:after="120"/>
        <w:jc w:val="both"/>
        <w:rPr>
          <w:rFonts w:ascii="Arial" w:hAnsi="Arial" w:cs="Arial"/>
          <w:iCs/>
          <w:szCs w:val="20"/>
        </w:rPr>
      </w:pPr>
      <w:proofErr w:type="spellStart"/>
      <w:r w:rsidRPr="00B44C3F">
        <w:rPr>
          <w:rFonts w:ascii="Arial" w:hAnsi="Arial" w:cs="Arial"/>
          <w:iCs/>
          <w:szCs w:val="20"/>
        </w:rPr>
        <w:t>Xxxx</w:t>
      </w:r>
      <w:proofErr w:type="spellEnd"/>
    </w:p>
    <w:p w14:paraId="3C3A3797" w14:textId="4904855E" w:rsidR="00B44C3F" w:rsidRPr="00B44C3F" w:rsidRDefault="00B44C3F" w:rsidP="00192ED1">
      <w:pPr>
        <w:numPr>
          <w:ilvl w:val="0"/>
          <w:numId w:val="9"/>
        </w:numPr>
        <w:shd w:val="clear" w:color="auto" w:fill="FFFFFF" w:themeFill="background1"/>
        <w:spacing w:before="120" w:after="120"/>
        <w:jc w:val="both"/>
        <w:rPr>
          <w:rFonts w:ascii="Arial" w:hAnsi="Arial" w:cs="Arial"/>
          <w:iCs/>
          <w:szCs w:val="20"/>
        </w:rPr>
      </w:pPr>
      <w:proofErr w:type="spellStart"/>
      <w:r>
        <w:rPr>
          <w:rFonts w:ascii="Arial" w:hAnsi="Arial" w:cs="Arial"/>
          <w:iCs/>
          <w:szCs w:val="20"/>
        </w:rPr>
        <w:t>Xxxx</w:t>
      </w:r>
      <w:proofErr w:type="spellEnd"/>
    </w:p>
    <w:p w14:paraId="3F4E78B8" w14:textId="51BB7AC6" w:rsidR="00993FCA" w:rsidRPr="00371EF7" w:rsidRDefault="00993FCA" w:rsidP="00192ED1">
      <w:pPr>
        <w:pStyle w:val="TitresansTM"/>
        <w:spacing w:line="252" w:lineRule="auto"/>
      </w:pPr>
      <w:r w:rsidRPr="00371EF7">
        <w:lastRenderedPageBreak/>
        <w:t xml:space="preserve">contre-indications </w:t>
      </w:r>
    </w:p>
    <w:p w14:paraId="60427CE1" w14:textId="722DB31B" w:rsidR="00885A58" w:rsidRPr="00B44C3F" w:rsidRDefault="00885A58" w:rsidP="00192ED1">
      <w:pPr>
        <w:spacing w:before="60" w:after="120"/>
        <w:jc w:val="both"/>
        <w:rPr>
          <w:rFonts w:ascii="Arial" w:hAnsi="Arial" w:cs="Arial"/>
          <w:i/>
          <w:iCs/>
          <w:color w:val="7F7F7F" w:themeColor="text1" w:themeTint="80"/>
          <w:szCs w:val="20"/>
        </w:rPr>
      </w:pPr>
      <w:r w:rsidRPr="007777FD">
        <w:rPr>
          <w:rFonts w:ascii="Arial" w:hAnsi="Arial" w:cs="Arial"/>
          <w:szCs w:val="20"/>
        </w:rPr>
        <w:t>Mêmes contre-indications que celles spécifiées pour l’application du protocole médical national, soit :</w:t>
      </w:r>
    </w:p>
    <w:p w14:paraId="651CEE8E" w14:textId="37FBB08C" w:rsidR="00005565" w:rsidRPr="005F155D" w:rsidRDefault="00005565" w:rsidP="00192ED1">
      <w:pPr>
        <w:pStyle w:val="Paragraphedeliste"/>
        <w:numPr>
          <w:ilvl w:val="0"/>
          <w:numId w:val="9"/>
        </w:numPr>
        <w:spacing w:after="120"/>
        <w:rPr>
          <w:rFonts w:ascii="Arial" w:hAnsi="Arial" w:cs="Arial"/>
          <w:szCs w:val="20"/>
        </w:rPr>
      </w:pPr>
      <w:bookmarkStart w:id="2" w:name="_Hlk158275130"/>
      <w:r w:rsidRPr="005F155D">
        <w:rPr>
          <w:rFonts w:ascii="Arial" w:hAnsi="Arial" w:cs="Arial"/>
          <w:szCs w:val="20"/>
        </w:rPr>
        <w:t>Personne pour qui un prélèvement dans le pharynx est contre-indiqué (selon les méthodes de soins informatisées — MSI)</w:t>
      </w:r>
      <w:r w:rsidR="00DC5B3C">
        <w:rPr>
          <w:rFonts w:ascii="Arial" w:hAnsi="Arial" w:cs="Arial"/>
          <w:szCs w:val="20"/>
        </w:rPr>
        <w:t>;</w:t>
      </w:r>
    </w:p>
    <w:p w14:paraId="21F8AC2F" w14:textId="77777777" w:rsidR="00005565" w:rsidRDefault="00005565" w:rsidP="00B948B6">
      <w:pPr>
        <w:pStyle w:val="Paragraphedeliste"/>
        <w:numPr>
          <w:ilvl w:val="0"/>
          <w:numId w:val="9"/>
        </w:numPr>
        <w:spacing w:after="60"/>
        <w:contextualSpacing w:val="0"/>
        <w:rPr>
          <w:rFonts w:ascii="Arial" w:hAnsi="Arial" w:cs="Arial"/>
          <w:szCs w:val="20"/>
        </w:rPr>
      </w:pPr>
      <w:r w:rsidRPr="005F155D">
        <w:rPr>
          <w:rFonts w:ascii="Arial" w:hAnsi="Arial" w:cs="Arial"/>
          <w:szCs w:val="20"/>
        </w:rPr>
        <w:t>Présence</w:t>
      </w:r>
      <w:r w:rsidRPr="00B6727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d’au moins un </w:t>
      </w:r>
      <w:r w:rsidRPr="00B67276">
        <w:rPr>
          <w:rFonts w:ascii="Arial" w:hAnsi="Arial" w:cs="Arial"/>
          <w:szCs w:val="20"/>
        </w:rPr>
        <w:t>de</w:t>
      </w:r>
      <w:r>
        <w:rPr>
          <w:rFonts w:ascii="Arial" w:hAnsi="Arial" w:cs="Arial"/>
          <w:szCs w:val="20"/>
        </w:rPr>
        <w:t>s</w:t>
      </w:r>
      <w:r w:rsidRPr="00B6727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signes ou </w:t>
      </w:r>
      <w:r w:rsidRPr="00B67276">
        <w:rPr>
          <w:rFonts w:ascii="Arial" w:hAnsi="Arial" w:cs="Arial"/>
          <w:szCs w:val="20"/>
        </w:rPr>
        <w:t xml:space="preserve">symptômes </w:t>
      </w:r>
      <w:r>
        <w:rPr>
          <w:rFonts w:ascii="Arial" w:hAnsi="Arial" w:cs="Arial"/>
          <w:szCs w:val="20"/>
        </w:rPr>
        <w:t>suivants (</w:t>
      </w:r>
      <w:r w:rsidRPr="001E64C1">
        <w:rPr>
          <w:rFonts w:ascii="Arial" w:hAnsi="Arial" w:cs="Arial"/>
          <w:b/>
          <w:bCs/>
          <w:szCs w:val="20"/>
        </w:rPr>
        <w:t>signaux d’alarme</w:t>
      </w:r>
      <w:r>
        <w:rPr>
          <w:rFonts w:ascii="Arial" w:hAnsi="Arial" w:cs="Arial"/>
          <w:szCs w:val="20"/>
        </w:rPr>
        <w:t xml:space="preserve">) : </w:t>
      </w:r>
    </w:p>
    <w:p w14:paraId="5BF23E72" w14:textId="77777777" w:rsidR="00005565" w:rsidRDefault="00005565" w:rsidP="00B948B6">
      <w:pPr>
        <w:pStyle w:val="Paragraphedeliste"/>
        <w:numPr>
          <w:ilvl w:val="1"/>
          <w:numId w:val="27"/>
        </w:numPr>
        <w:spacing w:after="60"/>
        <w:contextualSpacing w:val="0"/>
        <w:rPr>
          <w:rFonts w:ascii="Arial" w:hAnsi="Arial" w:cs="Arial"/>
          <w:szCs w:val="20"/>
        </w:rPr>
      </w:pPr>
      <w:r w:rsidRPr="009F2F69">
        <w:rPr>
          <w:rFonts w:ascii="Arial" w:hAnsi="Arial" w:cs="Arial"/>
          <w:szCs w:val="20"/>
        </w:rPr>
        <w:t>Fièvre avec atteinte de l’état général;</w:t>
      </w:r>
    </w:p>
    <w:p w14:paraId="77527E2B" w14:textId="77777777" w:rsidR="00005565" w:rsidRDefault="00005565" w:rsidP="00B948B6">
      <w:pPr>
        <w:pStyle w:val="Paragraphedeliste"/>
        <w:numPr>
          <w:ilvl w:val="1"/>
          <w:numId w:val="27"/>
        </w:numPr>
        <w:spacing w:after="60"/>
        <w:contextualSpacing w:val="0"/>
        <w:rPr>
          <w:rFonts w:ascii="Arial" w:hAnsi="Arial" w:cs="Arial"/>
          <w:szCs w:val="20"/>
        </w:rPr>
      </w:pPr>
      <w:r w:rsidRPr="009F2F69">
        <w:rPr>
          <w:rFonts w:ascii="Arial" w:hAnsi="Arial" w:cs="Arial"/>
          <w:szCs w:val="20"/>
        </w:rPr>
        <w:t>Stridor ou d</w:t>
      </w:r>
      <w:r>
        <w:rPr>
          <w:rFonts w:ascii="Arial" w:hAnsi="Arial" w:cs="Arial"/>
          <w:szCs w:val="20"/>
        </w:rPr>
        <w:t>’</w:t>
      </w:r>
      <w:r w:rsidRPr="009F2F69">
        <w:rPr>
          <w:rFonts w:ascii="Arial" w:hAnsi="Arial" w:cs="Arial"/>
          <w:szCs w:val="20"/>
        </w:rPr>
        <w:t>autres signes de détresse respiratoire (ex. tachypnée, dyspnée, etc.)</w:t>
      </w:r>
      <w:r>
        <w:rPr>
          <w:rFonts w:ascii="Arial" w:hAnsi="Arial" w:cs="Arial"/>
          <w:szCs w:val="20"/>
        </w:rPr>
        <w:t>;</w:t>
      </w:r>
    </w:p>
    <w:p w14:paraId="32BF20E6" w14:textId="77777777" w:rsidR="00005565" w:rsidRDefault="00005565" w:rsidP="00B948B6">
      <w:pPr>
        <w:pStyle w:val="Paragraphedeliste"/>
        <w:numPr>
          <w:ilvl w:val="1"/>
          <w:numId w:val="27"/>
        </w:numPr>
        <w:spacing w:after="60"/>
        <w:contextualSpacing w:val="0"/>
        <w:rPr>
          <w:rFonts w:ascii="Arial" w:hAnsi="Arial" w:cs="Arial"/>
          <w:szCs w:val="20"/>
        </w:rPr>
      </w:pPr>
      <w:r w:rsidRPr="009F2F69">
        <w:rPr>
          <w:rFonts w:ascii="Arial" w:hAnsi="Arial" w:cs="Arial"/>
          <w:szCs w:val="20"/>
        </w:rPr>
        <w:t>Douleur ou gonflement du cou, torticolis dû à un spasme musculaire, raideur au niveau du cou;</w:t>
      </w:r>
    </w:p>
    <w:p w14:paraId="695DD2F8" w14:textId="77777777" w:rsidR="00005565" w:rsidRDefault="00005565" w:rsidP="00B948B6">
      <w:pPr>
        <w:pStyle w:val="Paragraphedeliste"/>
        <w:numPr>
          <w:ilvl w:val="1"/>
          <w:numId w:val="27"/>
        </w:numPr>
        <w:spacing w:after="60"/>
        <w:contextualSpacing w:val="0"/>
        <w:rPr>
          <w:rFonts w:ascii="Arial" w:hAnsi="Arial" w:cs="Arial"/>
          <w:szCs w:val="20"/>
        </w:rPr>
      </w:pPr>
      <w:r w:rsidRPr="009F2F69">
        <w:rPr>
          <w:rFonts w:ascii="Arial" w:hAnsi="Arial" w:cs="Arial"/>
          <w:szCs w:val="20"/>
        </w:rPr>
        <w:t>Gonflement visible dans le pharynx, de la paroi pharyngée, du palais mou ou du plancher de l</w:t>
      </w:r>
      <w:r>
        <w:rPr>
          <w:rFonts w:ascii="Arial" w:hAnsi="Arial" w:cs="Arial"/>
          <w:szCs w:val="20"/>
        </w:rPr>
        <w:t>’</w:t>
      </w:r>
      <w:r w:rsidRPr="009F2F69">
        <w:rPr>
          <w:rFonts w:ascii="Arial" w:hAnsi="Arial" w:cs="Arial"/>
          <w:szCs w:val="20"/>
        </w:rPr>
        <w:t>oropharynx;</w:t>
      </w:r>
    </w:p>
    <w:p w14:paraId="4F7375DE" w14:textId="77777777" w:rsidR="00005565" w:rsidRDefault="00005565" w:rsidP="00B948B6">
      <w:pPr>
        <w:pStyle w:val="Paragraphedeliste"/>
        <w:numPr>
          <w:ilvl w:val="1"/>
          <w:numId w:val="27"/>
        </w:numPr>
        <w:spacing w:after="60"/>
        <w:contextualSpacing w:val="0"/>
        <w:rPr>
          <w:rFonts w:ascii="Arial" w:hAnsi="Arial" w:cs="Arial"/>
          <w:szCs w:val="20"/>
        </w:rPr>
      </w:pPr>
      <w:r w:rsidRPr="009F2F69">
        <w:rPr>
          <w:rFonts w:ascii="Arial" w:hAnsi="Arial" w:cs="Arial"/>
          <w:szCs w:val="20"/>
        </w:rPr>
        <w:t>Hypersalivation</w:t>
      </w:r>
      <w:r>
        <w:rPr>
          <w:rFonts w:ascii="Arial" w:hAnsi="Arial" w:cs="Arial"/>
          <w:szCs w:val="20"/>
        </w:rPr>
        <w:t xml:space="preserve"> (sialorrhée)</w:t>
      </w:r>
      <w:r w:rsidRPr="009F2F69">
        <w:rPr>
          <w:rFonts w:ascii="Arial" w:hAnsi="Arial" w:cs="Arial"/>
          <w:szCs w:val="20"/>
        </w:rPr>
        <w:t>;</w:t>
      </w:r>
    </w:p>
    <w:p w14:paraId="1B7DB691" w14:textId="77777777" w:rsidR="00005565" w:rsidRDefault="00005565" w:rsidP="00B948B6">
      <w:pPr>
        <w:pStyle w:val="Paragraphedeliste"/>
        <w:numPr>
          <w:ilvl w:val="1"/>
          <w:numId w:val="27"/>
        </w:numPr>
        <w:spacing w:after="60"/>
        <w:contextualSpacing w:val="0"/>
        <w:rPr>
          <w:rFonts w:ascii="Arial" w:hAnsi="Arial" w:cs="Arial"/>
          <w:szCs w:val="20"/>
        </w:rPr>
      </w:pPr>
      <w:r w:rsidRPr="009F2F69">
        <w:rPr>
          <w:rFonts w:ascii="Arial" w:hAnsi="Arial" w:cs="Arial"/>
          <w:szCs w:val="20"/>
        </w:rPr>
        <w:t>Mal de gorge unilatéral sévère;</w:t>
      </w:r>
    </w:p>
    <w:p w14:paraId="40D1A840" w14:textId="77777777" w:rsidR="00005565" w:rsidRDefault="00005565" w:rsidP="00B948B6">
      <w:pPr>
        <w:pStyle w:val="Paragraphedeliste"/>
        <w:numPr>
          <w:ilvl w:val="1"/>
          <w:numId w:val="27"/>
        </w:numPr>
        <w:spacing w:after="60"/>
        <w:contextualSpacing w:val="0"/>
        <w:rPr>
          <w:rFonts w:ascii="Arial" w:hAnsi="Arial" w:cs="Arial"/>
          <w:szCs w:val="20"/>
        </w:rPr>
      </w:pPr>
      <w:r w:rsidRPr="009F2F69">
        <w:rPr>
          <w:rFonts w:ascii="Arial" w:hAnsi="Arial" w:cs="Arial"/>
          <w:szCs w:val="20"/>
        </w:rPr>
        <w:t>Dysphagie avec incapacité de boire ou manger;</w:t>
      </w:r>
    </w:p>
    <w:p w14:paraId="46307558" w14:textId="77777777" w:rsidR="00005565" w:rsidRDefault="00005565" w:rsidP="00B948B6">
      <w:pPr>
        <w:pStyle w:val="Paragraphedeliste"/>
        <w:numPr>
          <w:ilvl w:val="1"/>
          <w:numId w:val="27"/>
        </w:numPr>
        <w:spacing w:after="60"/>
        <w:contextualSpacing w:val="0"/>
        <w:rPr>
          <w:rFonts w:ascii="Arial" w:hAnsi="Arial" w:cs="Arial"/>
          <w:szCs w:val="20"/>
        </w:rPr>
      </w:pPr>
      <w:r w:rsidRPr="009F2F69">
        <w:rPr>
          <w:rFonts w:ascii="Arial" w:hAnsi="Arial" w:cs="Arial"/>
          <w:szCs w:val="20"/>
        </w:rPr>
        <w:t>Dysphonie ou «</w:t>
      </w:r>
      <w:r>
        <w:rPr>
          <w:rFonts w:ascii="Arial" w:hAnsi="Arial" w:cs="Arial"/>
          <w:szCs w:val="20"/>
        </w:rPr>
        <w:t> </w:t>
      </w:r>
      <w:r w:rsidRPr="009F2F69">
        <w:rPr>
          <w:rFonts w:ascii="Arial" w:hAnsi="Arial" w:cs="Arial"/>
          <w:szCs w:val="20"/>
        </w:rPr>
        <w:t>l</w:t>
      </w:r>
      <w:r>
        <w:rPr>
          <w:rFonts w:ascii="Arial" w:hAnsi="Arial" w:cs="Arial"/>
          <w:szCs w:val="20"/>
        </w:rPr>
        <w:t>’</w:t>
      </w:r>
      <w:r w:rsidRPr="009F2F69">
        <w:rPr>
          <w:rFonts w:ascii="Arial" w:hAnsi="Arial" w:cs="Arial"/>
          <w:szCs w:val="20"/>
        </w:rPr>
        <w:t>existence d</w:t>
      </w:r>
      <w:r>
        <w:rPr>
          <w:rFonts w:ascii="Arial" w:hAnsi="Arial" w:cs="Arial"/>
          <w:szCs w:val="20"/>
        </w:rPr>
        <w:t>’</w:t>
      </w:r>
      <w:r w:rsidRPr="009F2F69">
        <w:rPr>
          <w:rFonts w:ascii="Arial" w:hAnsi="Arial" w:cs="Arial"/>
          <w:szCs w:val="20"/>
        </w:rPr>
        <w:t>une voix couverte appelée voix de patate chaude</w:t>
      </w:r>
      <w:r>
        <w:rPr>
          <w:rFonts w:ascii="Arial" w:hAnsi="Arial" w:cs="Arial"/>
          <w:szCs w:val="20"/>
        </w:rPr>
        <w:t> </w:t>
      </w:r>
      <w:r w:rsidRPr="009F2F69">
        <w:rPr>
          <w:rFonts w:ascii="Arial" w:hAnsi="Arial" w:cs="Arial"/>
          <w:szCs w:val="20"/>
        </w:rPr>
        <w:t>» (parler comme si l’on avait un objet chaud dans sa bouche);</w:t>
      </w:r>
    </w:p>
    <w:p w14:paraId="4C127F7E" w14:textId="77777777" w:rsidR="00005565" w:rsidRDefault="00005565" w:rsidP="00B948B6">
      <w:pPr>
        <w:pStyle w:val="Paragraphedeliste"/>
        <w:numPr>
          <w:ilvl w:val="1"/>
          <w:numId w:val="27"/>
        </w:numPr>
        <w:spacing w:after="60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Hématurie;</w:t>
      </w:r>
    </w:p>
    <w:p w14:paraId="7CB1EC65" w14:textId="77777777" w:rsidR="00005565" w:rsidRPr="005F6540" w:rsidRDefault="00005565" w:rsidP="00B948B6">
      <w:pPr>
        <w:pStyle w:val="Paragraphedeliste"/>
        <w:numPr>
          <w:ilvl w:val="1"/>
          <w:numId w:val="27"/>
        </w:numPr>
        <w:spacing w:after="60"/>
        <w:contextualSpacing w:val="0"/>
        <w:rPr>
          <w:rFonts w:ascii="Arial" w:hAnsi="Arial" w:cs="Arial"/>
          <w:szCs w:val="20"/>
        </w:rPr>
      </w:pPr>
      <w:r w:rsidRPr="005F6540">
        <w:rPr>
          <w:rFonts w:ascii="Arial" w:hAnsi="Arial" w:cs="Arial"/>
          <w:szCs w:val="20"/>
        </w:rPr>
        <w:t>Purpura</w:t>
      </w:r>
      <w:r>
        <w:rPr>
          <w:rFonts w:ascii="Arial" w:hAnsi="Arial" w:cs="Arial"/>
          <w:szCs w:val="20"/>
        </w:rPr>
        <w:t>;</w:t>
      </w:r>
    </w:p>
    <w:p w14:paraId="50C6E6E9" w14:textId="77777777" w:rsidR="00005565" w:rsidRPr="005F6540" w:rsidRDefault="00005565" w:rsidP="00B948B6">
      <w:pPr>
        <w:pStyle w:val="Paragraphedeliste"/>
        <w:numPr>
          <w:ilvl w:val="1"/>
          <w:numId w:val="27"/>
        </w:numPr>
        <w:spacing w:after="60"/>
        <w:contextualSpacing w:val="0"/>
        <w:rPr>
          <w:rFonts w:ascii="Arial" w:hAnsi="Arial" w:cs="Arial"/>
          <w:szCs w:val="20"/>
        </w:rPr>
      </w:pPr>
      <w:r w:rsidRPr="005F6540">
        <w:rPr>
          <w:rFonts w:ascii="Arial" w:hAnsi="Arial" w:cs="Arial"/>
          <w:szCs w:val="20"/>
        </w:rPr>
        <w:t>Pétéchies</w:t>
      </w:r>
      <w:r>
        <w:rPr>
          <w:rFonts w:ascii="Arial" w:hAnsi="Arial" w:cs="Arial"/>
          <w:szCs w:val="20"/>
        </w:rPr>
        <w:t xml:space="preserve"> cutanées;</w:t>
      </w:r>
    </w:p>
    <w:p w14:paraId="79955B2C" w14:textId="77777777" w:rsidR="00005565" w:rsidRPr="002E462A" w:rsidRDefault="00005565" w:rsidP="00192ED1">
      <w:pPr>
        <w:pStyle w:val="Paragraphedeliste"/>
        <w:numPr>
          <w:ilvl w:val="1"/>
          <w:numId w:val="27"/>
        </w:numPr>
        <w:spacing w:after="240"/>
        <w:rPr>
          <w:rFonts w:ascii="Arial" w:hAnsi="Arial" w:cs="Arial"/>
          <w:szCs w:val="20"/>
        </w:rPr>
      </w:pPr>
      <w:r w:rsidRPr="009F2F69">
        <w:rPr>
          <w:rFonts w:ascii="Arial" w:hAnsi="Arial" w:cs="Arial"/>
          <w:szCs w:val="20"/>
        </w:rPr>
        <w:t>Trismus (contraction involontaire de la mâchoire)</w:t>
      </w:r>
      <w:r w:rsidRPr="002E462A">
        <w:rPr>
          <w:rFonts w:ascii="Arial" w:hAnsi="Arial" w:cs="Arial"/>
          <w:szCs w:val="20"/>
        </w:rPr>
        <w:t>.</w:t>
      </w:r>
    </w:p>
    <w:bookmarkEnd w:id="2"/>
    <w:p w14:paraId="4F7A1434" w14:textId="039A4316" w:rsidR="00993FCA" w:rsidRPr="00371EF7" w:rsidRDefault="00B5174A" w:rsidP="00192ED1">
      <w:pPr>
        <w:pStyle w:val="TitresansTM"/>
        <w:spacing w:line="252" w:lineRule="auto"/>
      </w:pPr>
      <w:r>
        <w:t>PROTOCOLE MÉDICAL</w:t>
      </w:r>
      <w:r w:rsidR="00181688">
        <w:t xml:space="preserve"> </w:t>
      </w:r>
    </w:p>
    <w:p w14:paraId="72016273" w14:textId="1161FFCC" w:rsidR="00E10EB0" w:rsidRPr="00885A58" w:rsidRDefault="00885A58" w:rsidP="00192ED1">
      <w:pPr>
        <w:pStyle w:val="Texte"/>
        <w:spacing w:after="120"/>
        <w:ind w:left="0"/>
        <w:rPr>
          <w:rFonts w:ascii="Arial" w:hAnsi="Arial" w:cs="Arial"/>
          <w:szCs w:val="20"/>
        </w:rPr>
      </w:pPr>
      <w:r w:rsidRPr="00885A58">
        <w:rPr>
          <w:rFonts w:ascii="Arial" w:hAnsi="Arial" w:cs="Arial"/>
          <w:szCs w:val="20"/>
        </w:rPr>
        <w:t xml:space="preserve">Se référer au protocole médical national </w:t>
      </w:r>
      <w:hyperlink r:id="rId9" w:history="1">
        <w:r w:rsidRPr="008F74A0">
          <w:rPr>
            <w:rStyle w:val="Lienhypertexte"/>
            <w:rFonts w:ascii="Arial" w:hAnsi="Arial" w:cs="Arial"/>
            <w:szCs w:val="20"/>
          </w:rPr>
          <w:t>No 888054</w:t>
        </w:r>
      </w:hyperlink>
      <w:r w:rsidRPr="00885A58">
        <w:rPr>
          <w:rFonts w:ascii="Arial" w:hAnsi="Arial" w:cs="Arial"/>
          <w:szCs w:val="20"/>
        </w:rPr>
        <w:t xml:space="preserve"> de l’Institut national d’excellence en santé et en services sociaux consultable sur le site Web au moment de l’application de cette ordonnance.</w:t>
      </w:r>
    </w:p>
    <w:p w14:paraId="7869DF66" w14:textId="7EF349E4" w:rsidR="00993FCA" w:rsidRPr="00885A58" w:rsidRDefault="00A9758B" w:rsidP="00192ED1">
      <w:pPr>
        <w:pStyle w:val="TitresansTM"/>
        <w:spacing w:line="252" w:lineRule="auto"/>
      </w:pPr>
      <w:r w:rsidRPr="00885A58">
        <w:t xml:space="preserve">Limites ou situations </w:t>
      </w:r>
      <w:r w:rsidR="00FF29C4" w:rsidRPr="00885A58">
        <w:t>exigeant</w:t>
      </w:r>
      <w:r w:rsidRPr="00885A58">
        <w:t xml:space="preserve"> une consultation obligatoire</w:t>
      </w:r>
    </w:p>
    <w:p w14:paraId="2F377120" w14:textId="4DB0CAEB" w:rsidR="00B742CD" w:rsidRPr="00DC5B3C" w:rsidRDefault="00B742CD" w:rsidP="00DC5B3C">
      <w:pPr>
        <w:pStyle w:val="Paragraphedeliste"/>
        <w:numPr>
          <w:ilvl w:val="0"/>
          <w:numId w:val="9"/>
        </w:numPr>
        <w:spacing w:before="60" w:after="60"/>
        <w:contextualSpacing w:val="0"/>
        <w:rPr>
          <w:rFonts w:ascii="Arial" w:hAnsi="Arial"/>
          <w:szCs w:val="20"/>
        </w:rPr>
      </w:pPr>
      <w:r w:rsidRPr="00885A58">
        <w:rPr>
          <w:rFonts w:ascii="Arial" w:hAnsi="Arial" w:cs="Arial"/>
          <w:szCs w:val="20"/>
        </w:rPr>
        <w:t>3 traitements pharmacologiques ou plus dans la dernière année, ou un traitement dans les 4 dernières semaines, pour une pharyngite à SGA</w:t>
      </w:r>
      <w:r w:rsidR="00DC5B3C">
        <w:rPr>
          <w:rFonts w:ascii="Arial" w:hAnsi="Arial" w:cs="Arial"/>
          <w:szCs w:val="20"/>
        </w:rPr>
        <w:t>;</w:t>
      </w:r>
    </w:p>
    <w:p w14:paraId="161F6A58" w14:textId="12656DF8" w:rsidR="00DC5B3C" w:rsidRPr="00885A58" w:rsidRDefault="00DC5B3C" w:rsidP="00DC5B3C">
      <w:pPr>
        <w:pStyle w:val="Paragraphedeliste"/>
        <w:numPr>
          <w:ilvl w:val="0"/>
          <w:numId w:val="9"/>
        </w:numPr>
        <w:spacing w:before="60" w:after="60"/>
        <w:contextualSpacing w:val="0"/>
        <w:rPr>
          <w:rFonts w:ascii="Arial" w:hAnsi="Arial"/>
          <w:szCs w:val="20"/>
        </w:rPr>
      </w:pPr>
      <w:r w:rsidRPr="00DC5B3C">
        <w:rPr>
          <w:rFonts w:ascii="Arial" w:hAnsi="Arial"/>
          <w:szCs w:val="20"/>
        </w:rPr>
        <w:t xml:space="preserve">Femme enceinte avec un score de </w:t>
      </w:r>
      <w:proofErr w:type="spellStart"/>
      <w:r w:rsidRPr="00DC5B3C">
        <w:rPr>
          <w:rFonts w:ascii="Arial" w:hAnsi="Arial"/>
          <w:szCs w:val="20"/>
        </w:rPr>
        <w:t>Centor</w:t>
      </w:r>
      <w:proofErr w:type="spellEnd"/>
      <w:r w:rsidRPr="00DC5B3C">
        <w:rPr>
          <w:rFonts w:ascii="Arial" w:hAnsi="Arial"/>
          <w:szCs w:val="20"/>
        </w:rPr>
        <w:t xml:space="preserve"> de 2 ou moins</w:t>
      </w:r>
      <w:r>
        <w:rPr>
          <w:rFonts w:ascii="Arial" w:hAnsi="Arial"/>
          <w:szCs w:val="20"/>
        </w:rPr>
        <w:t>;</w:t>
      </w:r>
    </w:p>
    <w:p w14:paraId="3EF39886" w14:textId="77777777" w:rsidR="007777FD" w:rsidRDefault="007777FD" w:rsidP="00DC5B3C">
      <w:pPr>
        <w:pStyle w:val="Paragraphedeliste"/>
        <w:numPr>
          <w:ilvl w:val="0"/>
          <w:numId w:val="9"/>
        </w:numPr>
        <w:spacing w:before="60" w:after="60"/>
        <w:contextualSpacing w:val="0"/>
        <w:rPr>
          <w:rFonts w:ascii="Arial" w:hAnsi="Arial" w:cs="Arial"/>
          <w:szCs w:val="20"/>
        </w:rPr>
      </w:pPr>
      <w:r w:rsidRPr="00B742CD">
        <w:rPr>
          <w:rFonts w:ascii="Arial" w:hAnsi="Arial" w:cs="Arial"/>
          <w:szCs w:val="20"/>
        </w:rPr>
        <w:t>Résultat négatif chez</w:t>
      </w:r>
      <w:r>
        <w:rPr>
          <w:rFonts w:ascii="Arial" w:hAnsi="Arial" w:cs="Arial"/>
          <w:szCs w:val="20"/>
        </w:rPr>
        <w:t> :</w:t>
      </w:r>
    </w:p>
    <w:p w14:paraId="6770611C" w14:textId="12122009" w:rsidR="007777FD" w:rsidRDefault="00DC5B3C" w:rsidP="00DC5B3C">
      <w:pPr>
        <w:pStyle w:val="Paragraphedeliste"/>
        <w:numPr>
          <w:ilvl w:val="1"/>
          <w:numId w:val="28"/>
        </w:numPr>
        <w:spacing w:before="60" w:after="60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une f</w:t>
      </w:r>
      <w:r w:rsidR="00B742CD" w:rsidRPr="00B742CD">
        <w:rPr>
          <w:rFonts w:ascii="Arial" w:hAnsi="Arial" w:cs="Arial"/>
          <w:szCs w:val="20"/>
        </w:rPr>
        <w:t>emme enceinte</w:t>
      </w:r>
      <w:r>
        <w:rPr>
          <w:rFonts w:ascii="Arial" w:hAnsi="Arial" w:cs="Arial"/>
          <w:szCs w:val="20"/>
        </w:rPr>
        <w:t>;</w:t>
      </w:r>
    </w:p>
    <w:p w14:paraId="004058C0" w14:textId="2419EFD2" w:rsidR="007777FD" w:rsidRDefault="00DC5B3C" w:rsidP="00DC5B3C">
      <w:pPr>
        <w:pStyle w:val="Paragraphedeliste"/>
        <w:numPr>
          <w:ilvl w:val="1"/>
          <w:numId w:val="28"/>
        </w:numPr>
        <w:spacing w:before="60" w:after="60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une p</w:t>
      </w:r>
      <w:r w:rsidR="00B742CD" w:rsidRPr="007777FD">
        <w:rPr>
          <w:rFonts w:ascii="Arial" w:hAnsi="Arial" w:cs="Arial"/>
          <w:szCs w:val="20"/>
        </w:rPr>
        <w:t>ersonne greffée, sous immunosuppresseurs</w:t>
      </w:r>
      <w:r>
        <w:rPr>
          <w:rFonts w:ascii="Arial" w:hAnsi="Arial" w:cs="Arial"/>
          <w:szCs w:val="20"/>
        </w:rPr>
        <w:t>;</w:t>
      </w:r>
    </w:p>
    <w:p w14:paraId="77254876" w14:textId="23776F75" w:rsidR="00B742CD" w:rsidRPr="007777FD" w:rsidRDefault="00DC5B3C" w:rsidP="00DC5B3C">
      <w:pPr>
        <w:pStyle w:val="Paragraphedeliste"/>
        <w:numPr>
          <w:ilvl w:val="1"/>
          <w:numId w:val="28"/>
        </w:numPr>
        <w:spacing w:before="60" w:after="60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u</w:t>
      </w:r>
      <w:r w:rsidR="00B742CD" w:rsidRPr="007777FD">
        <w:rPr>
          <w:rFonts w:ascii="Arial" w:hAnsi="Arial" w:cs="Arial"/>
          <w:szCs w:val="20"/>
        </w:rPr>
        <w:t>ne personne qui présente au moins un des signes suggestifs de scarlatine</w:t>
      </w:r>
      <w:r>
        <w:rPr>
          <w:rFonts w:ascii="Arial" w:hAnsi="Arial" w:cs="Arial"/>
          <w:szCs w:val="20"/>
        </w:rPr>
        <w:t>.</w:t>
      </w:r>
    </w:p>
    <w:p w14:paraId="3F1E396B" w14:textId="62F4E649" w:rsidR="00726CA3" w:rsidRPr="00885A58" w:rsidRDefault="00B742CD" w:rsidP="00DC5B3C">
      <w:pPr>
        <w:pStyle w:val="Paragraphedeliste"/>
        <w:numPr>
          <w:ilvl w:val="0"/>
          <w:numId w:val="9"/>
        </w:numPr>
        <w:spacing w:before="60" w:after="60"/>
        <w:contextualSpacing w:val="0"/>
        <w:rPr>
          <w:rFonts w:ascii="Arial" w:hAnsi="Arial"/>
          <w:szCs w:val="20"/>
        </w:rPr>
      </w:pPr>
      <w:r w:rsidRPr="00885A58">
        <w:rPr>
          <w:rFonts w:ascii="Arial" w:hAnsi="Arial" w:cs="Arial"/>
          <w:szCs w:val="20"/>
        </w:rPr>
        <w:t>Aucune amélioration ou une détérioration de la condition de santé après 48 à 72 heures de traitement antibiotique.</w:t>
      </w:r>
    </w:p>
    <w:p w14:paraId="3AFFA83C" w14:textId="7440EC31" w:rsidR="00FF29C4" w:rsidRPr="00371EF7" w:rsidRDefault="00FF29C4" w:rsidP="00192ED1">
      <w:pPr>
        <w:pStyle w:val="TitresansTM"/>
        <w:spacing w:line="252" w:lineRule="auto"/>
      </w:pPr>
      <w:r>
        <w:t>mode de communication</w:t>
      </w:r>
    </w:p>
    <w:p w14:paraId="501DD63A" w14:textId="68806330" w:rsidR="008833FF" w:rsidRPr="00B44C3F" w:rsidRDefault="008833FF" w:rsidP="00192ED1">
      <w:pPr>
        <w:spacing w:before="240" w:after="120"/>
        <w:jc w:val="both"/>
        <w:rPr>
          <w:rFonts w:ascii="Arial" w:hAnsi="Arial" w:cs="Arial"/>
          <w:i/>
          <w:iCs/>
          <w:color w:val="7F7F7F" w:themeColor="text1" w:themeTint="80"/>
          <w:szCs w:val="20"/>
        </w:rPr>
      </w:pP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>P</w:t>
      </w:r>
      <w:r w:rsidRPr="008833FF">
        <w:rPr>
          <w:rFonts w:ascii="Arial" w:hAnsi="Arial" w:cs="Arial"/>
          <w:i/>
          <w:iCs/>
          <w:color w:val="7F7F7F" w:themeColor="text1" w:themeTint="80"/>
          <w:szCs w:val="20"/>
        </w:rPr>
        <w:t>révoir, le cas échéant,</w:t>
      </w: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 xml:space="preserve"> </w:t>
      </w:r>
      <w:r w:rsidRPr="008833FF">
        <w:rPr>
          <w:rFonts w:ascii="Arial" w:hAnsi="Arial" w:cs="Arial"/>
          <w:i/>
          <w:iCs/>
          <w:color w:val="7F7F7F" w:themeColor="text1" w:themeTint="80"/>
          <w:szCs w:val="20"/>
        </w:rPr>
        <w:t>le mode de communication privilégié pour des échanges</w:t>
      </w: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 xml:space="preserve"> </w:t>
      </w:r>
      <w:r w:rsidRPr="008833FF">
        <w:rPr>
          <w:rFonts w:ascii="Arial" w:hAnsi="Arial" w:cs="Arial"/>
          <w:i/>
          <w:iCs/>
          <w:color w:val="7F7F7F" w:themeColor="text1" w:themeTint="80"/>
          <w:szCs w:val="20"/>
        </w:rPr>
        <w:t>entre le professionnel prescripteur (médecin et IPS) et le</w:t>
      </w: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 xml:space="preserve"> </w:t>
      </w:r>
      <w:r w:rsidRPr="008833FF">
        <w:rPr>
          <w:rFonts w:ascii="Arial" w:hAnsi="Arial" w:cs="Arial"/>
          <w:i/>
          <w:iCs/>
          <w:color w:val="7F7F7F" w:themeColor="text1" w:themeTint="80"/>
          <w:szCs w:val="20"/>
        </w:rPr>
        <w:t>professionnel ou la personne habilitée visés par l’OC pour</w:t>
      </w: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 xml:space="preserve"> les informations jugées essentielles.</w:t>
      </w:r>
    </w:p>
    <w:p w14:paraId="30EE8B90" w14:textId="56C5F8B8" w:rsidR="00B97F06" w:rsidRDefault="00B97F06" w:rsidP="00192ED1">
      <w:pPr>
        <w:pStyle w:val="Paragraphedeliste"/>
        <w:numPr>
          <w:ilvl w:val="0"/>
          <w:numId w:val="6"/>
        </w:numPr>
        <w:spacing w:before="120" w:after="120"/>
        <w:ind w:left="720"/>
        <w:contextualSpacing w:val="0"/>
        <w:jc w:val="both"/>
        <w:rPr>
          <w:rFonts w:ascii="Arial" w:hAnsi="Arial" w:cs="Arial"/>
          <w:szCs w:val="20"/>
        </w:rPr>
      </w:pPr>
      <w:proofErr w:type="spellStart"/>
      <w:r w:rsidRPr="00B97F06">
        <w:rPr>
          <w:rFonts w:ascii="Arial" w:hAnsi="Arial" w:cs="Arial"/>
          <w:szCs w:val="20"/>
        </w:rPr>
        <w:t>Xxxx</w:t>
      </w:r>
      <w:proofErr w:type="spellEnd"/>
    </w:p>
    <w:p w14:paraId="03E38570" w14:textId="6F1E7442" w:rsidR="00FB0A20" w:rsidRPr="00B97F06" w:rsidRDefault="00FB0A20" w:rsidP="00192ED1">
      <w:pPr>
        <w:pStyle w:val="Paragraphedeliste"/>
        <w:numPr>
          <w:ilvl w:val="0"/>
          <w:numId w:val="6"/>
        </w:numPr>
        <w:spacing w:before="120" w:after="120"/>
        <w:ind w:left="720"/>
        <w:contextualSpacing w:val="0"/>
        <w:jc w:val="both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Xxxx</w:t>
      </w:r>
      <w:proofErr w:type="spellEnd"/>
    </w:p>
    <w:p w14:paraId="139BE2CA" w14:textId="77777777" w:rsidR="00B948B6" w:rsidRDefault="00B948B6">
      <w:pPr>
        <w:spacing w:line="276" w:lineRule="auto"/>
        <w:rPr>
          <w:rFonts w:ascii="Arial" w:hAnsi="Arial" w:cs="Arial"/>
          <w:b/>
          <w:bCs/>
          <w:caps/>
          <w:color w:val="FFFFFF" w:themeColor="background1"/>
          <w:spacing w:val="20"/>
          <w:sz w:val="22"/>
        </w:rPr>
      </w:pPr>
      <w:r>
        <w:br w:type="page"/>
      </w:r>
    </w:p>
    <w:p w14:paraId="3BE9639E" w14:textId="748B006A" w:rsidR="00FF29C4" w:rsidRDefault="00FF29C4" w:rsidP="00192ED1">
      <w:pPr>
        <w:pStyle w:val="TitresansTM"/>
        <w:spacing w:line="252" w:lineRule="auto"/>
        <w:rPr>
          <w:szCs w:val="20"/>
        </w:rPr>
      </w:pPr>
      <w:r>
        <w:lastRenderedPageBreak/>
        <w:t>outils de référence et sources</w:t>
      </w:r>
    </w:p>
    <w:p w14:paraId="56A580B9" w14:textId="6B22DF3F" w:rsidR="00FF29C4" w:rsidRDefault="00B97F06" w:rsidP="00B948B6">
      <w:pPr>
        <w:spacing w:before="240" w:after="120"/>
        <w:jc w:val="both"/>
        <w:rPr>
          <w:rFonts w:ascii="Arial" w:hAnsi="Arial" w:cs="Arial"/>
          <w:i/>
          <w:iCs/>
          <w:color w:val="7F7F7F" w:themeColor="text1" w:themeTint="80"/>
          <w:szCs w:val="20"/>
        </w:rPr>
      </w:pPr>
      <w:r w:rsidRPr="00B97F06">
        <w:rPr>
          <w:rFonts w:ascii="Arial" w:hAnsi="Arial" w:cs="Arial"/>
          <w:i/>
          <w:iCs/>
          <w:color w:val="7F7F7F" w:themeColor="text1" w:themeTint="80"/>
          <w:szCs w:val="20"/>
        </w:rPr>
        <w:t>Les principaux</w:t>
      </w:r>
      <w:r w:rsidR="00B44C3F" w:rsidRPr="00B44C3F">
        <w:rPr>
          <w:rFonts w:ascii="Arial" w:hAnsi="Arial" w:cs="Arial"/>
          <w:i/>
          <w:iCs/>
          <w:color w:val="7F7F7F" w:themeColor="text1" w:themeTint="80"/>
          <w:szCs w:val="20"/>
        </w:rPr>
        <w:t xml:space="preserve"> </w:t>
      </w:r>
      <w:r w:rsidRPr="00B97F06">
        <w:rPr>
          <w:rFonts w:ascii="Arial" w:hAnsi="Arial" w:cs="Arial"/>
          <w:i/>
          <w:iCs/>
          <w:color w:val="7F7F7F" w:themeColor="text1" w:themeTint="80"/>
          <w:szCs w:val="20"/>
        </w:rPr>
        <w:t>éléments de référence utilisés, à savoir les protocoles, les</w:t>
      </w:r>
      <w:r w:rsidR="00B44C3F" w:rsidRPr="00B44C3F">
        <w:rPr>
          <w:rFonts w:ascii="Arial" w:hAnsi="Arial" w:cs="Arial"/>
          <w:i/>
          <w:iCs/>
          <w:color w:val="7F7F7F" w:themeColor="text1" w:themeTint="80"/>
          <w:szCs w:val="20"/>
        </w:rPr>
        <w:t xml:space="preserve"> </w:t>
      </w:r>
      <w:r w:rsidRPr="00B97F06">
        <w:rPr>
          <w:rFonts w:ascii="Arial" w:hAnsi="Arial" w:cs="Arial"/>
          <w:i/>
          <w:iCs/>
          <w:color w:val="7F7F7F" w:themeColor="text1" w:themeTint="80"/>
          <w:szCs w:val="20"/>
        </w:rPr>
        <w:t>lignes directrices et les documents de référence ayant servi</w:t>
      </w:r>
      <w:r w:rsidR="00B44C3F" w:rsidRPr="00B44C3F">
        <w:rPr>
          <w:rFonts w:ascii="Arial" w:hAnsi="Arial" w:cs="Arial"/>
          <w:i/>
          <w:iCs/>
          <w:color w:val="7F7F7F" w:themeColor="text1" w:themeTint="80"/>
          <w:szCs w:val="20"/>
        </w:rPr>
        <w:t xml:space="preserve"> </w:t>
      </w:r>
      <w:r w:rsidRPr="00B97F06">
        <w:rPr>
          <w:rFonts w:ascii="Arial" w:hAnsi="Arial" w:cs="Arial"/>
          <w:i/>
          <w:iCs/>
          <w:color w:val="7F7F7F" w:themeColor="text1" w:themeTint="80"/>
          <w:szCs w:val="20"/>
        </w:rPr>
        <w:t>à l’élaboration de l’ordonnance collective, doivent être</w:t>
      </w:r>
      <w:r w:rsidR="00B44C3F" w:rsidRPr="00B44C3F">
        <w:rPr>
          <w:rFonts w:ascii="Arial" w:hAnsi="Arial" w:cs="Arial"/>
          <w:i/>
          <w:iCs/>
          <w:color w:val="7F7F7F" w:themeColor="text1" w:themeTint="80"/>
          <w:szCs w:val="20"/>
        </w:rPr>
        <w:t xml:space="preserve"> </w:t>
      </w: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>mentionnés dans cette section.</w:t>
      </w:r>
    </w:p>
    <w:p w14:paraId="29112045" w14:textId="2DDEA09C" w:rsidR="00033F99" w:rsidRPr="00FB0A20" w:rsidRDefault="00FB0A20" w:rsidP="00192ED1">
      <w:pPr>
        <w:pStyle w:val="Paragraphedeliste"/>
        <w:numPr>
          <w:ilvl w:val="0"/>
          <w:numId w:val="22"/>
        </w:numPr>
        <w:spacing w:before="120" w:after="120"/>
        <w:contextualSpacing w:val="0"/>
        <w:jc w:val="both"/>
        <w:rPr>
          <w:rFonts w:ascii="Arial" w:hAnsi="Arial" w:cs="Arial"/>
          <w:szCs w:val="20"/>
        </w:rPr>
      </w:pPr>
      <w:proofErr w:type="spellStart"/>
      <w:r w:rsidRPr="00FB0A20">
        <w:rPr>
          <w:rFonts w:ascii="Arial" w:hAnsi="Arial" w:cs="Arial"/>
          <w:szCs w:val="20"/>
        </w:rPr>
        <w:t>Xxxx</w:t>
      </w:r>
      <w:proofErr w:type="spellEnd"/>
    </w:p>
    <w:p w14:paraId="33DB7524" w14:textId="729088D7" w:rsidR="00FB0A20" w:rsidRPr="00FB0A20" w:rsidRDefault="00033F99" w:rsidP="00192ED1">
      <w:pPr>
        <w:pStyle w:val="Paragraphedeliste"/>
        <w:numPr>
          <w:ilvl w:val="0"/>
          <w:numId w:val="22"/>
        </w:numPr>
        <w:spacing w:before="120" w:after="120"/>
        <w:contextualSpacing w:val="0"/>
        <w:jc w:val="both"/>
        <w:rPr>
          <w:rFonts w:ascii="Arial" w:hAnsi="Arial" w:cs="Arial"/>
          <w:szCs w:val="20"/>
        </w:rPr>
      </w:pPr>
      <w:proofErr w:type="spellStart"/>
      <w:r w:rsidRPr="00FB0A20">
        <w:rPr>
          <w:rFonts w:ascii="Arial" w:hAnsi="Arial" w:cs="Arial"/>
          <w:szCs w:val="20"/>
        </w:rPr>
        <w:t>Xxxx</w:t>
      </w:r>
      <w:proofErr w:type="spellEnd"/>
    </w:p>
    <w:p w14:paraId="73F0E724" w14:textId="30D3036E" w:rsidR="00FF29C4" w:rsidRPr="00033F99" w:rsidRDefault="00FF29C4" w:rsidP="00192ED1">
      <w:pPr>
        <w:pStyle w:val="TitresansTM"/>
        <w:spacing w:line="252" w:lineRule="auto"/>
      </w:pPr>
      <w:r w:rsidRPr="00033F99">
        <w:t>Identification du professionnel prescripteur</w:t>
      </w:r>
    </w:p>
    <w:p w14:paraId="46CB8E50" w14:textId="265041DE" w:rsidR="00FF29C4" w:rsidRDefault="00B44C3F" w:rsidP="00B948B6">
      <w:pPr>
        <w:spacing w:before="240" w:after="120"/>
        <w:jc w:val="both"/>
        <w:rPr>
          <w:rFonts w:ascii="Arial" w:hAnsi="Arial" w:cs="Arial"/>
          <w:i/>
          <w:iCs/>
          <w:color w:val="7F7F7F" w:themeColor="text1" w:themeTint="80"/>
          <w:szCs w:val="20"/>
        </w:rPr>
      </w:pP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>L’ordonnance collective doit comporter le nom de tous les professionnels prescripteurs, c’est-à-dire ceux qui adhèrent à l’ordonnance, leur numéro de téléphone et leur numéro de permis d’exercice</w:t>
      </w:r>
    </w:p>
    <w:p w14:paraId="6FFBB33E" w14:textId="35A933EC" w:rsidR="00FB0A20" w:rsidRPr="00FB0A20" w:rsidRDefault="00FB0A20" w:rsidP="00192ED1">
      <w:pPr>
        <w:pStyle w:val="Paragraphedeliste"/>
        <w:numPr>
          <w:ilvl w:val="0"/>
          <w:numId w:val="22"/>
        </w:numPr>
        <w:spacing w:before="240" w:after="240"/>
        <w:contextualSpacing w:val="0"/>
        <w:jc w:val="both"/>
        <w:rPr>
          <w:rFonts w:ascii="Arial" w:hAnsi="Arial" w:cs="Arial"/>
          <w:szCs w:val="20"/>
        </w:rPr>
      </w:pPr>
      <w:proofErr w:type="spellStart"/>
      <w:r w:rsidRPr="00FB0A20">
        <w:rPr>
          <w:rFonts w:ascii="Arial" w:hAnsi="Arial" w:cs="Arial"/>
          <w:szCs w:val="20"/>
        </w:rPr>
        <w:t>Xxxx</w:t>
      </w:r>
      <w:proofErr w:type="spellEnd"/>
    </w:p>
    <w:p w14:paraId="421EDA56" w14:textId="219D828E" w:rsidR="00993FCA" w:rsidRPr="00371EF7" w:rsidRDefault="00FF29C4" w:rsidP="00192ED1">
      <w:pPr>
        <w:pStyle w:val="TitresansTM"/>
        <w:spacing w:line="252" w:lineRule="auto"/>
      </w:pPr>
      <w:bookmarkStart w:id="3" w:name="_Hlk157588525"/>
      <w:r>
        <w:t>identification du professionnel répondant</w:t>
      </w:r>
    </w:p>
    <w:bookmarkEnd w:id="3"/>
    <w:p w14:paraId="7CB5D92B" w14:textId="77777777" w:rsidR="00B44C3F" w:rsidRPr="00B44C3F" w:rsidRDefault="00B44C3F" w:rsidP="00B948B6">
      <w:pPr>
        <w:spacing w:before="60" w:after="120"/>
        <w:jc w:val="both"/>
        <w:rPr>
          <w:rFonts w:ascii="Arial" w:hAnsi="Arial" w:cs="Arial"/>
          <w:color w:val="7F7F7F" w:themeColor="text1" w:themeTint="80"/>
          <w:szCs w:val="20"/>
        </w:rPr>
      </w:pPr>
      <w:r w:rsidRPr="00B44C3F">
        <w:rPr>
          <w:rFonts w:ascii="Arial" w:hAnsi="Arial" w:cs="Arial"/>
          <w:color w:val="7F7F7F" w:themeColor="text1" w:themeTint="80"/>
          <w:szCs w:val="20"/>
        </w:rPr>
        <w:t>Cette section doit aider le professionnel ou la personne habilitée qui applique une ordonnance collective à identifier le ou les professionnels répondants ou prévoir un mécanisme permettant de les identifier.</w:t>
      </w:r>
    </w:p>
    <w:p w14:paraId="416FD144" w14:textId="77777777" w:rsidR="00FB0A20" w:rsidRDefault="00B44C3F" w:rsidP="00B948B6">
      <w:pPr>
        <w:spacing w:before="120" w:after="120"/>
        <w:jc w:val="both"/>
        <w:rPr>
          <w:rFonts w:ascii="Arial" w:hAnsi="Arial" w:cs="Arial"/>
          <w:color w:val="7F7F7F" w:themeColor="text1" w:themeTint="80"/>
          <w:szCs w:val="20"/>
        </w:rPr>
      </w:pPr>
      <w:r w:rsidRPr="00B44C3F">
        <w:rPr>
          <w:rFonts w:ascii="Arial" w:hAnsi="Arial" w:cs="Arial"/>
          <w:color w:val="7F7F7F" w:themeColor="text1" w:themeTint="80"/>
          <w:szCs w:val="20"/>
        </w:rPr>
        <w:t xml:space="preserve">Exemple :  Le médecin ou l’IPS de garde au sans-rendez-vous du GMF </w:t>
      </w:r>
    </w:p>
    <w:p w14:paraId="5BB7D1B6" w14:textId="506C5BE4" w:rsidR="003C006E" w:rsidRPr="00FB0A20" w:rsidRDefault="00FB0A20" w:rsidP="00192ED1">
      <w:pPr>
        <w:pStyle w:val="Paragraphedeliste"/>
        <w:numPr>
          <w:ilvl w:val="0"/>
          <w:numId w:val="22"/>
        </w:numPr>
        <w:spacing w:before="240" w:after="240"/>
        <w:contextualSpacing w:val="0"/>
        <w:jc w:val="both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Xxxx</w:t>
      </w:r>
      <w:proofErr w:type="spellEnd"/>
    </w:p>
    <w:p w14:paraId="35F52037" w14:textId="77777777" w:rsidR="00993FCA" w:rsidRPr="00371EF7" w:rsidRDefault="00993FCA" w:rsidP="00192ED1">
      <w:pPr>
        <w:pStyle w:val="TitresansTM"/>
        <w:spacing w:line="252" w:lineRule="auto"/>
      </w:pPr>
      <w:r w:rsidRPr="00371EF7">
        <w:t>processus de mise en vigueur</w:t>
      </w:r>
    </w:p>
    <w:p w14:paraId="077A127A" w14:textId="712398D3" w:rsidR="00044DA9" w:rsidRDefault="00993FCA" w:rsidP="00B948B6">
      <w:pPr>
        <w:pStyle w:val="Texte"/>
        <w:numPr>
          <w:ilvl w:val="0"/>
          <w:numId w:val="1"/>
        </w:numPr>
        <w:spacing w:before="240" w:after="120"/>
        <w:ind w:left="562" w:right="0" w:hanging="562"/>
        <w:rPr>
          <w:rFonts w:ascii="Arial" w:hAnsi="Arial" w:cs="Arial"/>
          <w:b/>
          <w:caps/>
          <w:color w:val="000000" w:themeColor="text1"/>
          <w:szCs w:val="20"/>
        </w:rPr>
      </w:pPr>
      <w:r w:rsidRPr="003A080F">
        <w:rPr>
          <w:rFonts w:ascii="Arial" w:hAnsi="Arial" w:cs="Arial"/>
          <w:b/>
          <w:caps/>
          <w:color w:val="000000" w:themeColor="text1"/>
          <w:szCs w:val="20"/>
        </w:rPr>
        <w:t xml:space="preserve">Élaboration de la version actuelle  </w:t>
      </w:r>
    </w:p>
    <w:p w14:paraId="7DAAD3EE" w14:textId="6F928EB5" w:rsidR="00044DA9" w:rsidRPr="00B44C3F" w:rsidRDefault="00044DA9" w:rsidP="00B948B6">
      <w:pPr>
        <w:pStyle w:val="Paragraphedeliste"/>
        <w:autoSpaceDE w:val="0"/>
        <w:autoSpaceDN w:val="0"/>
        <w:adjustRightInd w:val="0"/>
        <w:spacing w:after="0"/>
        <w:ind w:left="562"/>
        <w:contextualSpacing w:val="0"/>
        <w:jc w:val="both"/>
        <w:rPr>
          <w:rFonts w:ascii="Arial" w:hAnsi="Arial" w:cs="Arial"/>
          <w:b/>
          <w:i/>
          <w:iCs/>
          <w:caps/>
          <w:color w:val="7F7F7F" w:themeColor="text1" w:themeTint="80"/>
          <w:szCs w:val="20"/>
        </w:rPr>
      </w:pPr>
      <w:r w:rsidRPr="00B44C3F">
        <w:rPr>
          <w:rFonts w:ascii="Arial" w:eastAsiaTheme="minorHAnsi" w:hAnsi="Arial" w:cs="Arial"/>
          <w:i/>
          <w:iCs/>
          <w:color w:val="7F7F7F" w:themeColor="text1" w:themeTint="80"/>
          <w:szCs w:val="20"/>
          <w:lang w:eastAsia="fr-CA"/>
        </w:rPr>
        <w:t>Identification du ou des médecins, de l’IPS et des personnes collaboratrices impliquées. Il est important d’identifier, dès le début de l’élaboration de l’OC, tous les professionnels qui en feront partie.</w:t>
      </w:r>
    </w:p>
    <w:p w14:paraId="4647E823" w14:textId="0F42236C" w:rsidR="00993FCA" w:rsidRDefault="00993FCA" w:rsidP="00B948B6">
      <w:pPr>
        <w:pStyle w:val="Texte"/>
        <w:numPr>
          <w:ilvl w:val="0"/>
          <w:numId w:val="1"/>
        </w:numPr>
        <w:spacing w:before="240" w:after="120"/>
        <w:ind w:left="562" w:right="0" w:hanging="562"/>
        <w:rPr>
          <w:rFonts w:ascii="Arial" w:hAnsi="Arial" w:cs="Arial"/>
          <w:b/>
          <w:caps/>
          <w:color w:val="000000" w:themeColor="text1"/>
          <w:szCs w:val="20"/>
        </w:rPr>
      </w:pPr>
      <w:r w:rsidRPr="003A080F">
        <w:rPr>
          <w:rFonts w:ascii="Arial" w:eastAsia="Arial Unicode MS" w:hAnsi="Arial" w:cs="Arial"/>
          <w:b/>
          <w:color w:val="000000" w:themeColor="text1"/>
          <w:szCs w:val="20"/>
        </w:rPr>
        <w:t xml:space="preserve">VALIDATION DE LA VERSION ACTUELLE </w:t>
      </w:r>
      <w:r w:rsidRPr="003A080F">
        <w:rPr>
          <w:rFonts w:ascii="Arial" w:hAnsi="Arial" w:cs="Arial"/>
          <w:b/>
          <w:caps/>
          <w:color w:val="000000" w:themeColor="text1"/>
          <w:szCs w:val="20"/>
        </w:rPr>
        <w:t xml:space="preserve"> </w:t>
      </w:r>
    </w:p>
    <w:p w14:paraId="7755A65F" w14:textId="4684F788" w:rsidR="00044DA9" w:rsidRPr="00B44C3F" w:rsidRDefault="00044DA9" w:rsidP="00B948B6">
      <w:pPr>
        <w:pStyle w:val="Texte"/>
        <w:spacing w:after="240"/>
        <w:ind w:left="562" w:right="0"/>
        <w:rPr>
          <w:rFonts w:ascii="Arial" w:hAnsi="Arial" w:cs="Arial"/>
          <w:b/>
          <w:i/>
          <w:iCs/>
          <w:caps/>
          <w:color w:val="000000" w:themeColor="text1"/>
          <w:szCs w:val="20"/>
        </w:rPr>
      </w:pPr>
      <w:r w:rsidRPr="00B44C3F">
        <w:rPr>
          <w:rFonts w:ascii="Arial" w:eastAsiaTheme="minorHAnsi" w:hAnsi="Arial" w:cs="Arial"/>
          <w:i/>
          <w:iCs/>
          <w:color w:val="7F7F7F" w:themeColor="text1" w:themeTint="80"/>
          <w:szCs w:val="20"/>
          <w:lang w:eastAsia="fr-CA"/>
        </w:rPr>
        <w:t>Identification des personnes responsables en regard de leurs activités professionnelles réservées.</w:t>
      </w:r>
    </w:p>
    <w:p w14:paraId="4FA1687F" w14:textId="361F9BF2" w:rsidR="00993FCA" w:rsidRDefault="00993FCA" w:rsidP="00B948B6">
      <w:pPr>
        <w:pStyle w:val="Paragraphedeliste"/>
        <w:numPr>
          <w:ilvl w:val="0"/>
          <w:numId w:val="1"/>
        </w:numPr>
        <w:spacing w:before="240" w:after="120"/>
        <w:ind w:left="562" w:hanging="562"/>
        <w:contextualSpacing w:val="0"/>
        <w:jc w:val="both"/>
        <w:rPr>
          <w:rFonts w:ascii="Arial" w:eastAsia="Arial Unicode MS" w:hAnsi="Arial" w:cs="Arial"/>
          <w:b/>
          <w:color w:val="000000" w:themeColor="text1"/>
          <w:szCs w:val="20"/>
        </w:rPr>
      </w:pPr>
      <w:r w:rsidRPr="003A080F">
        <w:rPr>
          <w:rFonts w:ascii="Arial" w:eastAsia="Arial Unicode MS" w:hAnsi="Arial" w:cs="Arial"/>
          <w:b/>
          <w:color w:val="000000" w:themeColor="text1"/>
          <w:szCs w:val="20"/>
        </w:rPr>
        <w:t xml:space="preserve">APPROBATION DE LA VERSION ACTUELLE </w:t>
      </w:r>
      <w:r w:rsidR="00F11D8B">
        <w:rPr>
          <w:rFonts w:ascii="Arial" w:eastAsia="Arial Unicode MS" w:hAnsi="Arial" w:cs="Arial"/>
          <w:b/>
          <w:color w:val="000000" w:themeColor="text1"/>
          <w:szCs w:val="20"/>
        </w:rPr>
        <w:t>EN ÉTABLISSEMENT</w:t>
      </w:r>
    </w:p>
    <w:p w14:paraId="6AA363F9" w14:textId="43C6CB77" w:rsidR="00F57281" w:rsidRPr="00B44C3F" w:rsidRDefault="00F57281" w:rsidP="00B948B6">
      <w:pPr>
        <w:tabs>
          <w:tab w:val="left" w:pos="5670"/>
        </w:tabs>
        <w:spacing w:before="60" w:after="120"/>
        <w:ind w:left="562"/>
        <w:jc w:val="both"/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</w:pPr>
      <w:r w:rsidRPr="00B44C3F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 xml:space="preserve">Par la signature du </w:t>
      </w:r>
      <w:bookmarkStart w:id="4" w:name="_Hlk160096212"/>
      <w:r w:rsidRPr="00B44C3F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 xml:space="preserve">représentant du </w:t>
      </w:r>
      <w:r w:rsidR="009A2407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>Conseil des médecins, dentistes et pharmaciens (</w:t>
      </w:r>
      <w:r w:rsidRPr="00B44C3F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>CMDP</w:t>
      </w:r>
      <w:r w:rsidR="009A2407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>)</w:t>
      </w:r>
      <w:bookmarkEnd w:id="4"/>
      <w:r w:rsidRPr="00B44C3F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 xml:space="preserve"> lorsqu’un médecin agit comme prescripteur et répondant.</w:t>
      </w:r>
    </w:p>
    <w:p w14:paraId="1FB8EA1A" w14:textId="6D8BF190" w:rsidR="00F57281" w:rsidRPr="009A2407" w:rsidRDefault="00F57281" w:rsidP="00B948B6">
      <w:pPr>
        <w:tabs>
          <w:tab w:val="left" w:pos="5670"/>
        </w:tabs>
        <w:spacing w:before="60" w:after="120"/>
        <w:ind w:left="562"/>
        <w:jc w:val="both"/>
        <w:rPr>
          <w:rFonts w:ascii="Arial" w:eastAsia="Arial Unicode MS" w:hAnsi="Arial" w:cs="Arial"/>
          <w:bCs/>
          <w:color w:val="7F7F7F" w:themeColor="text1" w:themeTint="80"/>
          <w:szCs w:val="20"/>
        </w:rPr>
      </w:pPr>
      <w:r w:rsidRPr="009A2407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 xml:space="preserve">Par la signature de </w:t>
      </w:r>
      <w:r w:rsidR="009A2407" w:rsidRPr="009A2407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>le directeur(</w:t>
      </w:r>
      <w:proofErr w:type="spellStart"/>
      <w:r w:rsidR="009A2407" w:rsidRPr="009A2407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>trice</w:t>
      </w:r>
      <w:proofErr w:type="spellEnd"/>
      <w:r w:rsidR="009A2407" w:rsidRPr="009A2407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>) des soins infirmiers (DSI),</w:t>
      </w:r>
      <w:r w:rsidRPr="009A2407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 xml:space="preserve"> si l’IPS est prescriptrice et répondante</w:t>
      </w:r>
      <w:r w:rsidRPr="009A2407">
        <w:rPr>
          <w:rFonts w:ascii="Arial" w:eastAsia="Arial Unicode MS" w:hAnsi="Arial" w:cs="Arial"/>
          <w:bCs/>
          <w:color w:val="7F7F7F" w:themeColor="text1" w:themeTint="80"/>
          <w:szCs w:val="20"/>
        </w:rPr>
        <w:t>.</w:t>
      </w:r>
    </w:p>
    <w:p w14:paraId="176BF834" w14:textId="7A3A2AC4" w:rsidR="00F57281" w:rsidRPr="00B44C3F" w:rsidRDefault="00F57281" w:rsidP="00B948B6">
      <w:pPr>
        <w:tabs>
          <w:tab w:val="left" w:pos="5670"/>
        </w:tabs>
        <w:spacing w:before="60" w:after="120"/>
        <w:ind w:left="562"/>
        <w:jc w:val="both"/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</w:pPr>
      <w:r w:rsidRPr="00FB0A20">
        <w:rPr>
          <w:rFonts w:ascii="Arial" w:eastAsia="Arial Unicode MS" w:hAnsi="Arial" w:cs="Arial"/>
          <w:b/>
          <w:i/>
          <w:iCs/>
          <w:color w:val="FF0000"/>
          <w:sz w:val="28"/>
          <w:szCs w:val="28"/>
        </w:rPr>
        <w:t>!</w:t>
      </w:r>
      <w:r w:rsidRPr="00B44C3F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 xml:space="preserve"> L’OC doit être signée par le représentant du CMDP et la DSI lorsqu’elle implique les deux parties.</w:t>
      </w:r>
    </w:p>
    <w:p w14:paraId="78304D96" w14:textId="77777777" w:rsidR="009A2407" w:rsidRDefault="009A2407" w:rsidP="00B948B6">
      <w:pPr>
        <w:tabs>
          <w:tab w:val="left" w:pos="5670"/>
        </w:tabs>
        <w:spacing w:before="240" w:after="240"/>
        <w:ind w:left="567"/>
        <w:jc w:val="both"/>
        <w:rPr>
          <w:rFonts w:ascii="Arial" w:hAnsi="Arial" w:cs="Arial"/>
          <w:b/>
          <w:bCs/>
          <w:color w:val="000000" w:themeColor="text1"/>
        </w:rPr>
      </w:pPr>
      <w:bookmarkStart w:id="5" w:name="_Hlk158118896"/>
      <w:r>
        <w:rPr>
          <w:rFonts w:ascii="Arial" w:hAnsi="Arial" w:cs="Arial"/>
          <w:b/>
          <w:bCs/>
          <w:color w:val="000000" w:themeColor="text1"/>
        </w:rPr>
        <w:t>R</w:t>
      </w:r>
      <w:r w:rsidRPr="009A2407">
        <w:rPr>
          <w:rFonts w:ascii="Arial" w:hAnsi="Arial" w:cs="Arial"/>
          <w:b/>
          <w:bCs/>
          <w:color w:val="000000" w:themeColor="text1"/>
        </w:rPr>
        <w:t>eprésentant du Conseil des médecins, dentistes et pharmaciens (CMDP)</w:t>
      </w:r>
    </w:p>
    <w:p w14:paraId="7E32AB8C" w14:textId="7D09B34B" w:rsidR="00993FCA" w:rsidRPr="00F57281" w:rsidRDefault="00993FCA" w:rsidP="00B948B6">
      <w:pPr>
        <w:tabs>
          <w:tab w:val="left" w:pos="5670"/>
        </w:tabs>
        <w:spacing w:before="240" w:after="240"/>
        <w:ind w:left="567"/>
        <w:jc w:val="both"/>
        <w:rPr>
          <w:rFonts w:ascii="Arial" w:hAnsi="Arial" w:cs="Arial"/>
          <w:color w:val="000000" w:themeColor="text1"/>
        </w:rPr>
      </w:pPr>
      <w:r w:rsidRPr="00F57281">
        <w:rPr>
          <w:rFonts w:ascii="Arial" w:hAnsi="Arial" w:cs="Arial"/>
          <w:color w:val="000000" w:themeColor="text1"/>
        </w:rPr>
        <w:t>Nom :</w:t>
      </w:r>
      <w:r w:rsidRPr="00F57281">
        <w:rPr>
          <w:rFonts w:ascii="Arial" w:hAnsi="Arial" w:cs="Arial"/>
          <w:color w:val="000000" w:themeColor="text1"/>
        </w:rPr>
        <w:tab/>
        <w:t>Prénom :</w:t>
      </w:r>
    </w:p>
    <w:p w14:paraId="78EC0AC6" w14:textId="78AD0AA7" w:rsidR="00993FCA" w:rsidRPr="003A080F" w:rsidRDefault="00993FCA" w:rsidP="00B948B6">
      <w:pPr>
        <w:tabs>
          <w:tab w:val="left" w:pos="5670"/>
        </w:tabs>
        <w:spacing w:before="240" w:after="240"/>
        <w:ind w:firstLine="567"/>
        <w:jc w:val="both"/>
        <w:rPr>
          <w:rFonts w:ascii="Arial" w:hAnsi="Arial" w:cs="Arial"/>
          <w:color w:val="000000" w:themeColor="text1"/>
        </w:rPr>
      </w:pPr>
      <w:r w:rsidRPr="003A080F">
        <w:rPr>
          <w:rFonts w:ascii="Arial" w:hAnsi="Arial" w:cs="Arial"/>
          <w:color w:val="000000" w:themeColor="text1"/>
        </w:rPr>
        <w:t>Signature :</w:t>
      </w:r>
      <w:r w:rsidRPr="003A080F">
        <w:rPr>
          <w:rFonts w:ascii="Arial" w:hAnsi="Arial" w:cs="Arial"/>
          <w:color w:val="000000" w:themeColor="text1"/>
        </w:rPr>
        <w:tab/>
        <w:t>Date :</w:t>
      </w:r>
    </w:p>
    <w:bookmarkEnd w:id="5"/>
    <w:p w14:paraId="68F4481C" w14:textId="7E7F52E1" w:rsidR="009A2407" w:rsidRDefault="009A2407" w:rsidP="00B948B6">
      <w:pPr>
        <w:tabs>
          <w:tab w:val="left" w:pos="5670"/>
        </w:tabs>
        <w:spacing w:before="360" w:after="240"/>
        <w:ind w:left="562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D</w:t>
      </w:r>
      <w:r w:rsidRPr="009A2407">
        <w:rPr>
          <w:rFonts w:ascii="Arial" w:hAnsi="Arial" w:cs="Arial"/>
          <w:b/>
          <w:bCs/>
          <w:color w:val="000000" w:themeColor="text1"/>
        </w:rPr>
        <w:t>irecteur(</w:t>
      </w:r>
      <w:proofErr w:type="spellStart"/>
      <w:r w:rsidRPr="009A2407">
        <w:rPr>
          <w:rFonts w:ascii="Arial" w:hAnsi="Arial" w:cs="Arial"/>
          <w:b/>
          <w:bCs/>
          <w:color w:val="000000" w:themeColor="text1"/>
        </w:rPr>
        <w:t>trice</w:t>
      </w:r>
      <w:proofErr w:type="spellEnd"/>
      <w:r w:rsidRPr="009A2407">
        <w:rPr>
          <w:rFonts w:ascii="Arial" w:hAnsi="Arial" w:cs="Arial"/>
          <w:b/>
          <w:bCs/>
          <w:color w:val="000000" w:themeColor="text1"/>
        </w:rPr>
        <w:t>) des soins infirmiers (DSI)</w:t>
      </w:r>
    </w:p>
    <w:p w14:paraId="7349EBA7" w14:textId="6C5A8D86" w:rsidR="00B44C3F" w:rsidRPr="00F57281" w:rsidRDefault="00B44C3F" w:rsidP="00B948B6">
      <w:pPr>
        <w:tabs>
          <w:tab w:val="left" w:pos="5670"/>
        </w:tabs>
        <w:spacing w:before="240" w:after="240"/>
        <w:ind w:left="567"/>
        <w:jc w:val="both"/>
        <w:rPr>
          <w:rFonts w:ascii="Arial" w:hAnsi="Arial" w:cs="Arial"/>
          <w:color w:val="000000" w:themeColor="text1"/>
        </w:rPr>
      </w:pPr>
      <w:r w:rsidRPr="00F57281">
        <w:rPr>
          <w:rFonts w:ascii="Arial" w:hAnsi="Arial" w:cs="Arial"/>
          <w:color w:val="000000" w:themeColor="text1"/>
        </w:rPr>
        <w:t>Nom :</w:t>
      </w:r>
      <w:r w:rsidRPr="00F57281">
        <w:rPr>
          <w:rFonts w:ascii="Arial" w:hAnsi="Arial" w:cs="Arial"/>
          <w:color w:val="000000" w:themeColor="text1"/>
        </w:rPr>
        <w:tab/>
        <w:t>Prénom :</w:t>
      </w:r>
    </w:p>
    <w:p w14:paraId="75E256BB" w14:textId="77777777" w:rsidR="00B44C3F" w:rsidRPr="003A080F" w:rsidRDefault="00B44C3F" w:rsidP="00B948B6">
      <w:pPr>
        <w:tabs>
          <w:tab w:val="left" w:pos="5670"/>
        </w:tabs>
        <w:spacing w:before="240" w:after="240"/>
        <w:ind w:firstLine="567"/>
        <w:jc w:val="both"/>
        <w:rPr>
          <w:rFonts w:ascii="Arial" w:hAnsi="Arial" w:cs="Arial"/>
          <w:color w:val="000000" w:themeColor="text1"/>
        </w:rPr>
      </w:pPr>
      <w:r w:rsidRPr="003A080F">
        <w:rPr>
          <w:rFonts w:ascii="Arial" w:hAnsi="Arial" w:cs="Arial"/>
          <w:color w:val="000000" w:themeColor="text1"/>
        </w:rPr>
        <w:t>Signature :</w:t>
      </w:r>
      <w:r w:rsidRPr="003A080F">
        <w:rPr>
          <w:rFonts w:ascii="Arial" w:hAnsi="Arial" w:cs="Arial"/>
          <w:color w:val="000000" w:themeColor="text1"/>
        </w:rPr>
        <w:tab/>
        <w:t>Date :</w:t>
      </w:r>
    </w:p>
    <w:p w14:paraId="0AA51854" w14:textId="77777777" w:rsidR="00B948B6" w:rsidRDefault="00B948B6">
      <w:pPr>
        <w:spacing w:line="276" w:lineRule="auto"/>
        <w:rPr>
          <w:rFonts w:ascii="Arial" w:eastAsia="Arial Unicode MS" w:hAnsi="Arial" w:cs="Arial"/>
          <w:b/>
          <w:color w:val="000000" w:themeColor="text1"/>
          <w:szCs w:val="20"/>
        </w:rPr>
      </w:pPr>
      <w:r>
        <w:rPr>
          <w:rFonts w:ascii="Arial" w:eastAsia="Arial Unicode MS" w:hAnsi="Arial" w:cs="Arial"/>
          <w:b/>
          <w:color w:val="000000" w:themeColor="text1"/>
          <w:szCs w:val="20"/>
        </w:rPr>
        <w:br w:type="page"/>
      </w:r>
    </w:p>
    <w:p w14:paraId="2FCF9E50" w14:textId="5F52E842" w:rsidR="00993FCA" w:rsidRDefault="00993FCA" w:rsidP="00192ED1">
      <w:pPr>
        <w:pStyle w:val="Paragraphedeliste"/>
        <w:numPr>
          <w:ilvl w:val="0"/>
          <w:numId w:val="1"/>
        </w:numPr>
        <w:spacing w:before="240" w:after="240"/>
        <w:ind w:left="567" w:hanging="567"/>
        <w:jc w:val="both"/>
        <w:rPr>
          <w:rFonts w:ascii="Arial" w:eastAsia="Arial Unicode MS" w:hAnsi="Arial" w:cs="Arial"/>
          <w:b/>
          <w:color w:val="000000" w:themeColor="text1"/>
          <w:szCs w:val="20"/>
        </w:rPr>
      </w:pPr>
      <w:r w:rsidRPr="003A080F">
        <w:rPr>
          <w:rFonts w:ascii="Arial" w:eastAsia="Arial Unicode MS" w:hAnsi="Arial" w:cs="Arial"/>
          <w:b/>
          <w:color w:val="000000" w:themeColor="text1"/>
          <w:szCs w:val="20"/>
        </w:rPr>
        <w:lastRenderedPageBreak/>
        <w:t>APPROBATION DE LA VERSION ACTUELLE</w:t>
      </w:r>
      <w:r w:rsidR="009A2407">
        <w:rPr>
          <w:rFonts w:ascii="Arial" w:eastAsia="Arial Unicode MS" w:hAnsi="Arial" w:cs="Arial"/>
          <w:b/>
          <w:caps/>
          <w:color w:val="000000" w:themeColor="text1"/>
          <w:szCs w:val="20"/>
        </w:rPr>
        <w:t xml:space="preserve"> EN </w:t>
      </w:r>
      <w:r w:rsidRPr="003A080F">
        <w:rPr>
          <w:rFonts w:ascii="Arial" w:eastAsia="Arial Unicode MS" w:hAnsi="Arial" w:cs="Arial"/>
          <w:b/>
          <w:color w:val="000000" w:themeColor="text1"/>
          <w:szCs w:val="20"/>
        </w:rPr>
        <w:t>HORS ÉTABLISSEMENT</w:t>
      </w:r>
    </w:p>
    <w:p w14:paraId="5CC25DA1" w14:textId="40A422BE" w:rsidR="00F57281" w:rsidRPr="00B44C3F" w:rsidRDefault="00F57281" w:rsidP="00192ED1">
      <w:pPr>
        <w:pStyle w:val="Paragraphedeliste"/>
        <w:spacing w:before="360" w:after="240"/>
        <w:ind w:left="562"/>
        <w:contextualSpacing w:val="0"/>
        <w:jc w:val="both"/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</w:pPr>
      <w:r w:rsidRPr="00B44C3F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>Par la signature de chacun des professionnels prescripteurs pour lesquels l’ordonnance collective peut être initiée à leurs patients.</w:t>
      </w:r>
    </w:p>
    <w:tbl>
      <w:tblPr>
        <w:tblStyle w:val="TableauGrille1Clair"/>
        <w:tblW w:w="5000" w:type="pct"/>
        <w:tblLook w:val="04A0" w:firstRow="1" w:lastRow="0" w:firstColumn="1" w:lastColumn="0" w:noHBand="0" w:noVBand="1"/>
      </w:tblPr>
      <w:tblGrid>
        <w:gridCol w:w="2475"/>
        <w:gridCol w:w="2475"/>
        <w:gridCol w:w="2506"/>
        <w:gridCol w:w="2506"/>
      </w:tblGrid>
      <w:tr w:rsidR="00726CA3" w:rsidRPr="00726CA3" w14:paraId="04A2B60B" w14:textId="0AD8EDAD" w:rsidTr="00726C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595959" w:themeFill="text1" w:themeFillTint="A6"/>
            <w:vAlign w:val="center"/>
          </w:tcPr>
          <w:p w14:paraId="4AF920BA" w14:textId="77777777" w:rsidR="009A2407" w:rsidRPr="00726CA3" w:rsidRDefault="009A2407" w:rsidP="00192ED1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26CA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Nom et prénom</w:t>
            </w:r>
          </w:p>
        </w:tc>
        <w:tc>
          <w:tcPr>
            <w:tcW w:w="1242" w:type="pct"/>
            <w:shd w:val="clear" w:color="auto" w:fill="595959" w:themeFill="text1" w:themeFillTint="A6"/>
            <w:vAlign w:val="center"/>
          </w:tcPr>
          <w:p w14:paraId="52696C37" w14:textId="77777777" w:rsidR="009A2407" w:rsidRPr="00726CA3" w:rsidRDefault="009A2407" w:rsidP="00192ED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26CA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Numéro de permis</w:t>
            </w:r>
          </w:p>
        </w:tc>
        <w:tc>
          <w:tcPr>
            <w:tcW w:w="1258" w:type="pct"/>
            <w:shd w:val="clear" w:color="auto" w:fill="595959" w:themeFill="text1" w:themeFillTint="A6"/>
            <w:vAlign w:val="center"/>
          </w:tcPr>
          <w:p w14:paraId="3169625B" w14:textId="77777777" w:rsidR="009A2407" w:rsidRPr="00726CA3" w:rsidRDefault="009A2407" w:rsidP="00192ED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26CA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Signature</w:t>
            </w:r>
          </w:p>
        </w:tc>
        <w:tc>
          <w:tcPr>
            <w:tcW w:w="1258" w:type="pct"/>
            <w:shd w:val="clear" w:color="auto" w:fill="595959" w:themeFill="text1" w:themeFillTint="A6"/>
            <w:vAlign w:val="center"/>
          </w:tcPr>
          <w:p w14:paraId="3F22CA8F" w14:textId="19FF8580" w:rsidR="009A2407" w:rsidRPr="00726CA3" w:rsidRDefault="009A2407" w:rsidP="00192ED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26CA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Téléphone</w:t>
            </w:r>
          </w:p>
        </w:tc>
      </w:tr>
      <w:tr w:rsidR="009A2407" w:rsidRPr="00890123" w14:paraId="3E67E672" w14:textId="34C19915" w:rsidTr="00726CA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712E70BA" w14:textId="77777777" w:rsidR="009A2407" w:rsidRPr="00890123" w:rsidRDefault="009A2407" w:rsidP="00192ED1">
            <w:pPr>
              <w:spacing w:before="120" w:after="12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42" w:type="pct"/>
            <w:vAlign w:val="center"/>
          </w:tcPr>
          <w:p w14:paraId="1DA77A45" w14:textId="77777777" w:rsidR="009A2407" w:rsidRPr="00890123" w:rsidRDefault="009A2407" w:rsidP="00192ED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3D0A75B8" w14:textId="77777777" w:rsidR="009A2407" w:rsidRPr="00890123" w:rsidRDefault="009A2407" w:rsidP="00192ED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021A78E6" w14:textId="77777777" w:rsidR="009A2407" w:rsidRPr="00890123" w:rsidRDefault="009A2407" w:rsidP="00192ED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2407" w:rsidRPr="00890123" w14:paraId="08D56C4A" w14:textId="4C9CC0DB" w:rsidTr="00726CA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33007529" w14:textId="77777777" w:rsidR="009A2407" w:rsidRPr="00890123" w:rsidRDefault="009A2407" w:rsidP="00192ED1">
            <w:pPr>
              <w:spacing w:before="120" w:after="12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42" w:type="pct"/>
            <w:vAlign w:val="center"/>
          </w:tcPr>
          <w:p w14:paraId="339B8641" w14:textId="77777777" w:rsidR="009A2407" w:rsidRPr="00890123" w:rsidRDefault="009A2407" w:rsidP="00192ED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707A35B7" w14:textId="77777777" w:rsidR="009A2407" w:rsidRPr="00890123" w:rsidRDefault="009A2407" w:rsidP="00192ED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349F7F55" w14:textId="77777777" w:rsidR="009A2407" w:rsidRPr="00890123" w:rsidRDefault="009A2407" w:rsidP="00192ED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2407" w:rsidRPr="00890123" w14:paraId="2FBD627B" w14:textId="65E4AE54" w:rsidTr="00726CA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7EA802E9" w14:textId="77777777" w:rsidR="009A2407" w:rsidRPr="00890123" w:rsidRDefault="009A2407" w:rsidP="00192ED1">
            <w:pPr>
              <w:spacing w:before="120" w:after="12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42" w:type="pct"/>
            <w:vAlign w:val="center"/>
          </w:tcPr>
          <w:p w14:paraId="0E848F0C" w14:textId="77777777" w:rsidR="009A2407" w:rsidRPr="00890123" w:rsidRDefault="009A2407" w:rsidP="00192ED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0E707024" w14:textId="77777777" w:rsidR="009A2407" w:rsidRPr="00890123" w:rsidRDefault="009A2407" w:rsidP="00192ED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1100AD2D" w14:textId="77777777" w:rsidR="009A2407" w:rsidRPr="00890123" w:rsidRDefault="009A2407" w:rsidP="00192ED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2407" w:rsidRPr="00890123" w14:paraId="29FEB60E" w14:textId="620056F6" w:rsidTr="00726CA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0F77E021" w14:textId="77777777" w:rsidR="009A2407" w:rsidRPr="00890123" w:rsidRDefault="009A2407" w:rsidP="00192ED1">
            <w:pPr>
              <w:spacing w:before="120" w:after="12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42" w:type="pct"/>
            <w:vAlign w:val="center"/>
          </w:tcPr>
          <w:p w14:paraId="04DE047E" w14:textId="77777777" w:rsidR="009A2407" w:rsidRPr="00890123" w:rsidRDefault="009A2407" w:rsidP="00192ED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545F1995" w14:textId="77777777" w:rsidR="009A2407" w:rsidRPr="00890123" w:rsidRDefault="009A2407" w:rsidP="00192ED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4214FD60" w14:textId="77777777" w:rsidR="009A2407" w:rsidRPr="00890123" w:rsidRDefault="009A2407" w:rsidP="00192ED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2407" w:rsidRPr="00890123" w14:paraId="5B366274" w14:textId="3A4915D4" w:rsidTr="00726CA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2B9B0264" w14:textId="77777777" w:rsidR="009A2407" w:rsidRPr="00890123" w:rsidRDefault="009A2407" w:rsidP="00192ED1">
            <w:pPr>
              <w:spacing w:before="120" w:after="12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42" w:type="pct"/>
            <w:vAlign w:val="center"/>
          </w:tcPr>
          <w:p w14:paraId="74B77EDB" w14:textId="77777777" w:rsidR="009A2407" w:rsidRPr="00890123" w:rsidRDefault="009A2407" w:rsidP="00192ED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3E8A912B" w14:textId="77777777" w:rsidR="009A2407" w:rsidRPr="00890123" w:rsidRDefault="009A2407" w:rsidP="00192ED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20D74A92" w14:textId="77777777" w:rsidR="009A2407" w:rsidRPr="00890123" w:rsidRDefault="009A2407" w:rsidP="00192ED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2407" w:rsidRPr="00890123" w14:paraId="0955D2DB" w14:textId="7E5493BC" w:rsidTr="00726CA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506BF1A1" w14:textId="77777777" w:rsidR="009A2407" w:rsidRPr="00890123" w:rsidRDefault="009A2407" w:rsidP="00192ED1">
            <w:pPr>
              <w:spacing w:before="120" w:after="12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42" w:type="pct"/>
            <w:vAlign w:val="center"/>
          </w:tcPr>
          <w:p w14:paraId="58218022" w14:textId="77777777" w:rsidR="009A2407" w:rsidRPr="00890123" w:rsidRDefault="009A2407" w:rsidP="00192ED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183D7F9B" w14:textId="77777777" w:rsidR="009A2407" w:rsidRPr="00890123" w:rsidRDefault="009A2407" w:rsidP="00192ED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0DB48531" w14:textId="77777777" w:rsidR="009A2407" w:rsidRPr="00890123" w:rsidRDefault="009A2407" w:rsidP="00192ED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3226A7" w14:textId="77777777" w:rsidR="00993FCA" w:rsidRDefault="00993FCA" w:rsidP="00192ED1">
      <w:pPr>
        <w:spacing w:before="60" w:after="60"/>
        <w:jc w:val="both"/>
        <w:rPr>
          <w:rFonts w:ascii="Arial" w:hAnsi="Arial" w:cs="Arial"/>
        </w:rPr>
      </w:pPr>
    </w:p>
    <w:sectPr w:rsidR="00993FCA" w:rsidSect="004E1B11"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91" w:right="1134" w:bottom="1191" w:left="1134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CA1F8" w14:textId="77777777" w:rsidR="00DA266C" w:rsidRDefault="00DA266C" w:rsidP="00484DBD">
      <w:pPr>
        <w:spacing w:after="0" w:line="240" w:lineRule="auto"/>
      </w:pPr>
      <w:r>
        <w:separator/>
      </w:r>
    </w:p>
  </w:endnote>
  <w:endnote w:type="continuationSeparator" w:id="0">
    <w:p w14:paraId="739893B3" w14:textId="77777777" w:rsidR="00DA266C" w:rsidRDefault="00DA266C" w:rsidP="0048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52906504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9B5315" w14:textId="717FD8A4" w:rsidR="003C006E" w:rsidRDefault="003C006E" w:rsidP="00A6468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F57281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4CF04E7" w14:textId="77777777" w:rsidR="003C006E" w:rsidRDefault="003C006E" w:rsidP="003C00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025141333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73A2611A" w14:textId="4F48041B" w:rsidR="003C006E" w:rsidRPr="00B948B6" w:rsidRDefault="00815CE3" w:rsidP="007777FD">
        <w:pPr>
          <w:pStyle w:val="Pieddepage"/>
          <w:tabs>
            <w:tab w:val="clear" w:pos="4320"/>
            <w:tab w:val="clear" w:pos="8640"/>
            <w:tab w:val="right" w:pos="9972"/>
          </w:tabs>
          <w:spacing w:before="120"/>
          <w:rPr>
            <w:sz w:val="16"/>
            <w:szCs w:val="16"/>
          </w:rPr>
        </w:pPr>
        <w:r>
          <w:rPr>
            <w:sz w:val="16"/>
            <w:szCs w:val="16"/>
          </w:rPr>
          <w:t>Juin</w:t>
        </w:r>
        <w:r w:rsidR="00885A58" w:rsidRPr="00B948B6">
          <w:rPr>
            <w:sz w:val="16"/>
            <w:szCs w:val="16"/>
          </w:rPr>
          <w:t xml:space="preserve"> 2025</w:t>
        </w:r>
        <w:r w:rsidR="00726CA3" w:rsidRPr="00B948B6">
          <w:rPr>
            <w:sz w:val="16"/>
            <w:szCs w:val="16"/>
          </w:rPr>
          <w:tab/>
        </w:r>
        <w:r w:rsidR="00726CA3" w:rsidRPr="00B948B6">
          <w:rPr>
            <w:rFonts w:cs="Arial"/>
            <w:b/>
            <w:sz w:val="16"/>
            <w:szCs w:val="16"/>
          </w:rPr>
          <w:t>INESSS</w:t>
        </w:r>
        <w:r w:rsidR="00726CA3" w:rsidRPr="00B948B6">
          <w:rPr>
            <w:rFonts w:cs="Arial"/>
            <w:sz w:val="16"/>
            <w:szCs w:val="16"/>
          </w:rPr>
          <w:t xml:space="preserve"> |Ordonnance collective – </w:t>
        </w:r>
        <w:r w:rsidR="00885A58" w:rsidRPr="00B948B6">
          <w:rPr>
            <w:rFonts w:cs="Arial"/>
            <w:sz w:val="16"/>
            <w:szCs w:val="16"/>
          </w:rPr>
          <w:t>Pharyngite-amygdalite bactérienne</w:t>
        </w:r>
        <w:r w:rsidR="00726CA3" w:rsidRPr="00B948B6">
          <w:rPr>
            <w:sz w:val="16"/>
            <w:szCs w:val="16"/>
          </w:rPr>
          <w:t xml:space="preserve">  </w:t>
        </w:r>
        <w:r w:rsidR="00726CA3" w:rsidRPr="00B948B6">
          <w:rPr>
            <w:rFonts w:cs="Arial"/>
            <w:sz w:val="16"/>
            <w:szCs w:val="16"/>
          </w:rPr>
          <w:fldChar w:fldCharType="begin"/>
        </w:r>
        <w:r w:rsidR="00726CA3" w:rsidRPr="00B948B6">
          <w:rPr>
            <w:rFonts w:cs="Arial"/>
            <w:sz w:val="16"/>
            <w:szCs w:val="16"/>
          </w:rPr>
          <w:instrText>PAGE   \* MERGEFORMAT</w:instrText>
        </w:r>
        <w:r w:rsidR="00726CA3" w:rsidRPr="00B948B6">
          <w:rPr>
            <w:rFonts w:cs="Arial"/>
            <w:sz w:val="16"/>
            <w:szCs w:val="16"/>
          </w:rPr>
          <w:fldChar w:fldCharType="separate"/>
        </w:r>
        <w:r w:rsidR="00726CA3" w:rsidRPr="00B948B6">
          <w:rPr>
            <w:rFonts w:cs="Arial"/>
            <w:sz w:val="16"/>
            <w:szCs w:val="16"/>
          </w:rPr>
          <w:t>1</w:t>
        </w:r>
        <w:r w:rsidR="00726CA3" w:rsidRPr="00B948B6">
          <w:rPr>
            <w:rFonts w:cs="Arial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557194771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253F2069" w14:textId="3F8086AE" w:rsidR="003C006E" w:rsidRPr="00192ED1" w:rsidRDefault="00815CE3" w:rsidP="007777FD">
        <w:pPr>
          <w:pStyle w:val="Pieddepage"/>
          <w:tabs>
            <w:tab w:val="clear" w:pos="4320"/>
            <w:tab w:val="clear" w:pos="8640"/>
            <w:tab w:val="right" w:pos="9972"/>
          </w:tabs>
          <w:spacing w:before="120"/>
          <w:rPr>
            <w:sz w:val="16"/>
            <w:szCs w:val="16"/>
          </w:rPr>
        </w:pPr>
        <w:r>
          <w:rPr>
            <w:sz w:val="16"/>
            <w:szCs w:val="16"/>
          </w:rPr>
          <w:t>Juin</w:t>
        </w:r>
        <w:r w:rsidR="00885A58" w:rsidRPr="00192ED1">
          <w:rPr>
            <w:sz w:val="16"/>
            <w:szCs w:val="16"/>
          </w:rPr>
          <w:t xml:space="preserve"> 2025</w:t>
        </w:r>
        <w:r w:rsidR="00606B72" w:rsidRPr="00192ED1">
          <w:rPr>
            <w:sz w:val="16"/>
            <w:szCs w:val="16"/>
          </w:rPr>
          <w:tab/>
        </w:r>
        <w:r w:rsidR="003C006E" w:rsidRPr="00192ED1">
          <w:rPr>
            <w:rFonts w:cs="Arial"/>
            <w:b/>
            <w:sz w:val="16"/>
            <w:szCs w:val="16"/>
          </w:rPr>
          <w:t>INESSS</w:t>
        </w:r>
        <w:r w:rsidR="003C006E" w:rsidRPr="00192ED1">
          <w:rPr>
            <w:rFonts w:cs="Arial"/>
            <w:sz w:val="16"/>
            <w:szCs w:val="16"/>
          </w:rPr>
          <w:t xml:space="preserve"> |</w:t>
        </w:r>
        <w:r w:rsidR="00AA30E4" w:rsidRPr="00192ED1">
          <w:rPr>
            <w:rFonts w:cs="Arial"/>
            <w:sz w:val="16"/>
            <w:szCs w:val="16"/>
          </w:rPr>
          <w:t>O</w:t>
        </w:r>
        <w:r w:rsidR="003C006E" w:rsidRPr="00192ED1">
          <w:rPr>
            <w:rFonts w:cs="Arial"/>
            <w:sz w:val="16"/>
            <w:szCs w:val="16"/>
          </w:rPr>
          <w:t>rdonnance collective</w:t>
        </w:r>
        <w:r w:rsidR="0095430B" w:rsidRPr="00192ED1">
          <w:rPr>
            <w:rFonts w:cs="Arial"/>
            <w:sz w:val="16"/>
            <w:szCs w:val="16"/>
          </w:rPr>
          <w:t xml:space="preserve"> </w:t>
        </w:r>
        <w:r w:rsidR="003C006E" w:rsidRPr="00192ED1">
          <w:rPr>
            <w:rFonts w:cs="Arial"/>
            <w:sz w:val="16"/>
            <w:szCs w:val="16"/>
          </w:rPr>
          <w:t xml:space="preserve">– </w:t>
        </w:r>
        <w:r w:rsidR="00885A58" w:rsidRPr="00192ED1">
          <w:rPr>
            <w:rFonts w:cs="Arial"/>
            <w:sz w:val="16"/>
            <w:szCs w:val="16"/>
          </w:rPr>
          <w:t>Pharyngite-amygdalite bactérienne</w:t>
        </w:r>
        <w:r w:rsidR="0095430B" w:rsidRPr="00192ED1">
          <w:rPr>
            <w:sz w:val="16"/>
            <w:szCs w:val="16"/>
          </w:rPr>
          <w:t xml:space="preserve"> </w:t>
        </w:r>
        <w:r w:rsidR="003C006E" w:rsidRPr="00192ED1">
          <w:rPr>
            <w:sz w:val="16"/>
            <w:szCs w:val="16"/>
          </w:rPr>
          <w:t xml:space="preserve"> </w:t>
        </w:r>
        <w:r w:rsidR="003C006E" w:rsidRPr="00192ED1">
          <w:rPr>
            <w:rFonts w:cs="Arial"/>
            <w:sz w:val="16"/>
            <w:szCs w:val="16"/>
          </w:rPr>
          <w:fldChar w:fldCharType="begin"/>
        </w:r>
        <w:r w:rsidR="003C006E" w:rsidRPr="00192ED1">
          <w:rPr>
            <w:rFonts w:cs="Arial"/>
            <w:sz w:val="16"/>
            <w:szCs w:val="16"/>
          </w:rPr>
          <w:instrText>PAGE   \* MERGEFORMAT</w:instrText>
        </w:r>
        <w:r w:rsidR="003C006E" w:rsidRPr="00192ED1">
          <w:rPr>
            <w:rFonts w:cs="Arial"/>
            <w:sz w:val="16"/>
            <w:szCs w:val="16"/>
          </w:rPr>
          <w:fldChar w:fldCharType="separate"/>
        </w:r>
        <w:r w:rsidR="00A9665F" w:rsidRPr="00192ED1">
          <w:rPr>
            <w:rFonts w:cs="Arial"/>
            <w:noProof/>
            <w:sz w:val="16"/>
            <w:szCs w:val="16"/>
          </w:rPr>
          <w:t>1</w:t>
        </w:r>
        <w:r w:rsidR="003C006E" w:rsidRPr="00192ED1">
          <w:rPr>
            <w:rFonts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5521C" w14:textId="77777777" w:rsidR="00DA266C" w:rsidRDefault="00DA266C" w:rsidP="00484DBD">
      <w:pPr>
        <w:spacing w:after="0" w:line="240" w:lineRule="auto"/>
      </w:pPr>
      <w:r>
        <w:separator/>
      </w:r>
    </w:p>
  </w:footnote>
  <w:footnote w:type="continuationSeparator" w:id="0">
    <w:p w14:paraId="55C45596" w14:textId="77777777" w:rsidR="00DA266C" w:rsidRDefault="00DA266C" w:rsidP="0048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39E00" w14:textId="3129B953" w:rsidR="009A2407" w:rsidRDefault="00C57E65" w:rsidP="00484DBD">
    <w:pPr>
      <w:pStyle w:val="En-tte"/>
      <w:ind w:left="-142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6C1B5F" wp14:editId="5561545B">
              <wp:simplePos x="0" y="0"/>
              <wp:positionH relativeFrom="column">
                <wp:posOffset>5513070</wp:posOffset>
              </wp:positionH>
              <wp:positionV relativeFrom="paragraph">
                <wp:posOffset>511810</wp:posOffset>
              </wp:positionV>
              <wp:extent cx="666312" cy="231775"/>
              <wp:effectExtent l="0" t="0" r="0" b="0"/>
              <wp:wrapNone/>
              <wp:docPr id="20" name="Zone de text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312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0F3B6D" w14:textId="264167D1" w:rsidR="00C57E65" w:rsidRPr="00D169B8" w:rsidRDefault="00C57E65" w:rsidP="00C57E65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</w:t>
                          </w:r>
                          <w:r w:rsidRPr="00EF03E7">
                            <w:rPr>
                              <w:b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D55AF1">
                            <w:rPr>
                              <w:b/>
                              <w:sz w:val="18"/>
                              <w:szCs w:val="18"/>
                            </w:rPr>
                            <w:t>888054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C1B5F" id="_x0000_t202" coordsize="21600,21600" o:spt="202" path="m,l,21600r21600,l21600,xe">
              <v:stroke joinstyle="miter"/>
              <v:path gradientshapeok="t" o:connecttype="rect"/>
            </v:shapetype>
            <v:shape id="Zone de texte 20" o:spid="_x0000_s1026" type="#_x0000_t202" style="position:absolute;left:0;text-align:left;margin-left:434.1pt;margin-top:40.3pt;width:52.45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" filled="f" stroked="f" strokeweight=".5pt">
              <v:textbox>
                <w:txbxContent>
                  <w:p w14:paraId="630F3B6D" w14:textId="264167D1" w:rsidR="00C57E65" w:rsidRPr="00D169B8" w:rsidRDefault="00C57E65" w:rsidP="00C57E65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</w:t>
                    </w:r>
                    <w:r w:rsidRPr="00EF03E7">
                      <w:rPr>
                        <w:b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="00D55AF1">
                      <w:rPr>
                        <w:b/>
                        <w:sz w:val="18"/>
                        <w:szCs w:val="18"/>
                      </w:rPr>
                      <w:t>888054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36B6DA" wp14:editId="4DE6A3D5">
              <wp:simplePos x="0" y="0"/>
              <wp:positionH relativeFrom="column">
                <wp:posOffset>1662405</wp:posOffset>
              </wp:positionH>
              <wp:positionV relativeFrom="paragraph">
                <wp:posOffset>197003</wp:posOffset>
              </wp:positionV>
              <wp:extent cx="3522688" cy="1011555"/>
              <wp:effectExtent l="0" t="0" r="0" b="0"/>
              <wp:wrapNone/>
              <wp:docPr id="16" name="Zone de 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2688" cy="1011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4D67F6" w14:textId="77777777" w:rsidR="00FF576D" w:rsidRPr="00EE4B86" w:rsidRDefault="007C547F" w:rsidP="00FA2C8D">
                          <w:pPr>
                            <w:pStyle w:val="Grandtitre"/>
                            <w:tabs>
                              <w:tab w:val="left" w:pos="10894"/>
                            </w:tabs>
                            <w:spacing w:before="60" w:line="276" w:lineRule="auto"/>
                            <w:jc w:val="left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 xml:space="preserve">ORDONNANCE </w:t>
                          </w:r>
                          <w:r w:rsidRPr="00EE4B86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COLLECTIVE</w:t>
                          </w:r>
                        </w:p>
                        <w:p w14:paraId="63843725" w14:textId="54333A0F" w:rsidR="00957927" w:rsidRPr="003777C0" w:rsidRDefault="003777C0" w:rsidP="003777C0">
                          <w:pPr>
                            <w:spacing w:after="0" w:line="240" w:lineRule="auto"/>
                            <w:rPr>
                              <w:rFonts w:ascii="Arial" w:eastAsiaTheme="minorHAnsi" w:hAnsi="Arial" w:cs="Arial"/>
                              <w:color w:val="000000"/>
                              <w:szCs w:val="21"/>
                              <w:lang w:val="fr-FR" w:eastAsia="fr-CA"/>
                            </w:rPr>
                          </w:pPr>
                          <w:r>
                            <w:rPr>
                              <w:rFonts w:ascii="Arial" w:eastAsiaTheme="minorHAnsi" w:hAnsi="Arial" w:cs="Arial"/>
                              <w:color w:val="000000"/>
                              <w:szCs w:val="21"/>
                              <w:lang w:val="fr-FR" w:eastAsia="fr-CA"/>
                            </w:rPr>
                            <w:t xml:space="preserve">Initier une mesure diagnostique et thérapeutique chez </w:t>
                          </w:r>
                          <w:r w:rsidR="00005565">
                            <w:rPr>
                              <w:rFonts w:ascii="Arial" w:eastAsiaTheme="minorHAnsi" w:hAnsi="Arial" w:cs="Arial"/>
                              <w:color w:val="000000"/>
                              <w:szCs w:val="21"/>
                              <w:lang w:val="fr-FR" w:eastAsia="fr-CA"/>
                            </w:rPr>
                            <w:t>une</w:t>
                          </w:r>
                          <w:r>
                            <w:rPr>
                              <w:rFonts w:ascii="Arial" w:eastAsiaTheme="minorHAnsi" w:hAnsi="Arial" w:cs="Arial"/>
                              <w:color w:val="000000"/>
                              <w:szCs w:val="21"/>
                              <w:lang w:val="fr-FR" w:eastAsia="fr-CA"/>
                            </w:rPr>
                            <w:t xml:space="preserve"> personne qui présente des signes et symptômes d’une pharyngite-amygdalite bactérienne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36B6DA" id="Zone de texte 16" o:spid="_x0000_s1027" type="#_x0000_t202" style="position:absolute;left:0;text-align:left;margin-left:130.9pt;margin-top:15.5pt;width:277.4pt;height:7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" filled="f" stroked="f" strokeweight=".5pt">
              <v:textbox>
                <w:txbxContent>
                  <w:p w14:paraId="474D67F6" w14:textId="77777777" w:rsidR="00FF576D" w:rsidRPr="00EE4B86" w:rsidRDefault="007C547F" w:rsidP="00FA2C8D">
                    <w:pPr>
                      <w:pStyle w:val="Grandtitre"/>
                      <w:tabs>
                        <w:tab w:val="left" w:pos="10894"/>
                      </w:tabs>
                      <w:spacing w:before="60" w:line="276" w:lineRule="auto"/>
                      <w:jc w:val="left"/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 xml:space="preserve">ORDONNANCE </w:t>
                    </w:r>
                    <w:r w:rsidRPr="00EE4B86"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>COLLECTIVE</w:t>
                    </w:r>
                  </w:p>
                  <w:p w14:paraId="63843725" w14:textId="54333A0F" w:rsidR="00957927" w:rsidRPr="003777C0" w:rsidRDefault="003777C0" w:rsidP="003777C0">
                    <w:pPr>
                      <w:spacing w:after="0" w:line="240" w:lineRule="auto"/>
                      <w:rPr>
                        <w:rFonts w:ascii="Arial" w:eastAsiaTheme="minorHAnsi" w:hAnsi="Arial" w:cs="Arial"/>
                        <w:color w:val="000000"/>
                        <w:szCs w:val="21"/>
                        <w:lang w:val="fr-FR" w:eastAsia="fr-CA"/>
                      </w:rPr>
                    </w:pPr>
                    <w:r>
                      <w:rPr>
                        <w:rFonts w:ascii="Arial" w:eastAsiaTheme="minorHAnsi" w:hAnsi="Arial" w:cs="Arial"/>
                        <w:color w:val="000000"/>
                        <w:szCs w:val="21"/>
                        <w:lang w:val="fr-FR" w:eastAsia="fr-CA"/>
                      </w:rPr>
                      <w:t xml:space="preserve">Initier une mesure diagnostique et thérapeutique chez </w:t>
                    </w:r>
                    <w:r w:rsidR="00005565">
                      <w:rPr>
                        <w:rFonts w:ascii="Arial" w:eastAsiaTheme="minorHAnsi" w:hAnsi="Arial" w:cs="Arial"/>
                        <w:color w:val="000000"/>
                        <w:szCs w:val="21"/>
                        <w:lang w:val="fr-FR" w:eastAsia="fr-CA"/>
                      </w:rPr>
                      <w:t>une</w:t>
                    </w:r>
                    <w:r>
                      <w:rPr>
                        <w:rFonts w:ascii="Arial" w:eastAsiaTheme="minorHAnsi" w:hAnsi="Arial" w:cs="Arial"/>
                        <w:color w:val="000000"/>
                        <w:szCs w:val="21"/>
                        <w:lang w:val="fr-FR" w:eastAsia="fr-CA"/>
                      </w:rPr>
                      <w:t xml:space="preserve"> personne qui présente des signes et symptômes d’une pharyngite-amygdalite bactérienne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w:drawing>
        <wp:inline distT="0" distB="0" distL="0" distR="0" wp14:anchorId="05E5449D" wp14:editId="47920D4F">
          <wp:extent cx="6332220" cy="1117600"/>
          <wp:effectExtent l="0" t="0" r="0" b="635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deaux_SansFo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1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7AFF"/>
    <w:multiLevelType w:val="hybridMultilevel"/>
    <w:tmpl w:val="97FE7CA0"/>
    <w:lvl w:ilvl="0" w:tplc="04B88A6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sz w:val="15"/>
        <w:szCs w:val="1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1535"/>
    <w:multiLevelType w:val="hybridMultilevel"/>
    <w:tmpl w:val="03F673D4"/>
    <w:lvl w:ilvl="0" w:tplc="E0D6F8B2">
      <w:start w:val="1"/>
      <w:numFmt w:val="bullet"/>
      <w:lvlText w:val="►"/>
      <w:lvlJc w:val="left"/>
      <w:pPr>
        <w:ind w:left="1428" w:hanging="360"/>
      </w:pPr>
      <w:rPr>
        <w:rFonts w:ascii="Arial" w:hAnsi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C63971"/>
    <w:multiLevelType w:val="hybridMultilevel"/>
    <w:tmpl w:val="1B48017E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0A5357B"/>
    <w:multiLevelType w:val="hybridMultilevel"/>
    <w:tmpl w:val="D4FA37C8"/>
    <w:lvl w:ilvl="0" w:tplc="04B88A64">
      <w:start w:val="1"/>
      <w:numFmt w:val="bullet"/>
      <w:lvlText w:val=""/>
      <w:lvlJc w:val="left"/>
      <w:pPr>
        <w:ind w:left="1287" w:hanging="360"/>
      </w:pPr>
      <w:rPr>
        <w:rFonts w:ascii="Wingdings 3" w:hAnsi="Wingdings 3" w:hint="default"/>
        <w:sz w:val="15"/>
        <w:szCs w:val="15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D70452"/>
    <w:multiLevelType w:val="hybridMultilevel"/>
    <w:tmpl w:val="D25C99F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45BEA"/>
    <w:multiLevelType w:val="hybridMultilevel"/>
    <w:tmpl w:val="D97C2CFE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B9240F"/>
    <w:multiLevelType w:val="hybridMultilevel"/>
    <w:tmpl w:val="DC7C3B32"/>
    <w:lvl w:ilvl="0" w:tplc="04B88A6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sz w:val="15"/>
        <w:szCs w:val="15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87372"/>
    <w:multiLevelType w:val="hybridMultilevel"/>
    <w:tmpl w:val="686698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B350E"/>
    <w:multiLevelType w:val="hybridMultilevel"/>
    <w:tmpl w:val="B8BEFE18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E783C"/>
    <w:multiLevelType w:val="hybridMultilevel"/>
    <w:tmpl w:val="97C4A7FE"/>
    <w:lvl w:ilvl="0" w:tplc="BB0E9180">
      <w:numFmt w:val="bullet"/>
      <w:lvlText w:val="o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23F9A"/>
    <w:multiLevelType w:val="hybridMultilevel"/>
    <w:tmpl w:val="B2D052A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40848"/>
    <w:multiLevelType w:val="multilevel"/>
    <w:tmpl w:val="12769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ascii="Arial" w:hAnsi="Arial" w:cs="Arial" w:hint="default"/>
        <w:b/>
        <w:i w:val="0"/>
        <w:color w:val="1F497D" w:themeColor="text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4E27928"/>
    <w:multiLevelType w:val="hybridMultilevel"/>
    <w:tmpl w:val="547A24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63C57"/>
    <w:multiLevelType w:val="hybridMultilevel"/>
    <w:tmpl w:val="5C685588"/>
    <w:lvl w:ilvl="0" w:tplc="0C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B31165E"/>
    <w:multiLevelType w:val="hybridMultilevel"/>
    <w:tmpl w:val="4AE8F9FC"/>
    <w:lvl w:ilvl="0" w:tplc="FFFFFFFF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3DA2009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D1F4D"/>
    <w:multiLevelType w:val="hybridMultilevel"/>
    <w:tmpl w:val="E688959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56F39"/>
    <w:multiLevelType w:val="hybridMultilevel"/>
    <w:tmpl w:val="7F264A46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69331CC"/>
    <w:multiLevelType w:val="hybridMultilevel"/>
    <w:tmpl w:val="4BAC8C46"/>
    <w:lvl w:ilvl="0" w:tplc="E0D6F8B2">
      <w:start w:val="1"/>
      <w:numFmt w:val="bullet"/>
      <w:lvlText w:val="►"/>
      <w:lvlJc w:val="left"/>
      <w:pPr>
        <w:ind w:left="862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A4759E5"/>
    <w:multiLevelType w:val="hybridMultilevel"/>
    <w:tmpl w:val="E2B24C50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40CB2"/>
    <w:multiLevelType w:val="hybridMultilevel"/>
    <w:tmpl w:val="61B6E01E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E0F58"/>
    <w:multiLevelType w:val="hybridMultilevel"/>
    <w:tmpl w:val="8530FBF6"/>
    <w:lvl w:ilvl="0" w:tplc="FFFFFFFF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3DA2009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924F7"/>
    <w:multiLevelType w:val="hybridMultilevel"/>
    <w:tmpl w:val="895283AC"/>
    <w:lvl w:ilvl="0" w:tplc="CC624838">
      <w:start w:val="1"/>
      <w:numFmt w:val="bullet"/>
      <w:lvlText w:val="►"/>
      <w:lvlJc w:val="left"/>
      <w:pPr>
        <w:ind w:left="862" w:hanging="360"/>
      </w:pPr>
      <w:rPr>
        <w:rFonts w:ascii="Arial" w:hAnsi="Aria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4056393"/>
    <w:multiLevelType w:val="hybridMultilevel"/>
    <w:tmpl w:val="A12483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A2752"/>
    <w:multiLevelType w:val="hybridMultilevel"/>
    <w:tmpl w:val="CCDCBB02"/>
    <w:lvl w:ilvl="0" w:tplc="E0D6F8B2">
      <w:start w:val="1"/>
      <w:numFmt w:val="bullet"/>
      <w:lvlText w:val="►"/>
      <w:lvlJc w:val="left"/>
      <w:pPr>
        <w:ind w:left="502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102A4"/>
    <w:multiLevelType w:val="hybridMultilevel"/>
    <w:tmpl w:val="7344608E"/>
    <w:lvl w:ilvl="0" w:tplc="A350C898">
      <w:start w:val="1"/>
      <w:numFmt w:val="bullet"/>
      <w:lvlText w:val="!"/>
      <w:lvlJc w:val="left"/>
      <w:pPr>
        <w:ind w:left="502" w:hanging="360"/>
      </w:pPr>
      <w:rPr>
        <w:rFonts w:ascii="Courier New" w:hAnsi="Courier New" w:hint="default"/>
        <w:b/>
        <w:color w:val="FF0000"/>
        <w:sz w:val="22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34203A8"/>
    <w:multiLevelType w:val="hybridMultilevel"/>
    <w:tmpl w:val="D1A651C2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65B83"/>
    <w:multiLevelType w:val="hybridMultilevel"/>
    <w:tmpl w:val="0BC4C85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960CB"/>
    <w:multiLevelType w:val="hybridMultilevel"/>
    <w:tmpl w:val="539869B2"/>
    <w:lvl w:ilvl="0" w:tplc="0C0C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 w16cid:durableId="142502997">
    <w:abstractNumId w:val="11"/>
  </w:num>
  <w:num w:numId="2" w16cid:durableId="1217813465">
    <w:abstractNumId w:val="12"/>
  </w:num>
  <w:num w:numId="3" w16cid:durableId="1821539551">
    <w:abstractNumId w:val="9"/>
  </w:num>
  <w:num w:numId="4" w16cid:durableId="815881692">
    <w:abstractNumId w:val="13"/>
  </w:num>
  <w:num w:numId="5" w16cid:durableId="633878029">
    <w:abstractNumId w:val="15"/>
  </w:num>
  <w:num w:numId="6" w16cid:durableId="974719378">
    <w:abstractNumId w:val="1"/>
  </w:num>
  <w:num w:numId="7" w16cid:durableId="1966496338">
    <w:abstractNumId w:val="21"/>
  </w:num>
  <w:num w:numId="8" w16cid:durableId="1092823026">
    <w:abstractNumId w:val="17"/>
  </w:num>
  <w:num w:numId="9" w16cid:durableId="757211393">
    <w:abstractNumId w:val="8"/>
  </w:num>
  <w:num w:numId="10" w16cid:durableId="566306408">
    <w:abstractNumId w:val="26"/>
  </w:num>
  <w:num w:numId="11" w16cid:durableId="1746030526">
    <w:abstractNumId w:val="24"/>
  </w:num>
  <w:num w:numId="12" w16cid:durableId="799952941">
    <w:abstractNumId w:val="25"/>
  </w:num>
  <w:num w:numId="13" w16cid:durableId="303580749">
    <w:abstractNumId w:val="4"/>
  </w:num>
  <w:num w:numId="14" w16cid:durableId="405539123">
    <w:abstractNumId w:val="10"/>
  </w:num>
  <w:num w:numId="15" w16cid:durableId="1624186578">
    <w:abstractNumId w:val="27"/>
  </w:num>
  <w:num w:numId="16" w16cid:durableId="1425305273">
    <w:abstractNumId w:val="18"/>
  </w:num>
  <w:num w:numId="17" w16cid:durableId="510803029">
    <w:abstractNumId w:val="23"/>
  </w:num>
  <w:num w:numId="18" w16cid:durableId="1028456495">
    <w:abstractNumId w:val="16"/>
  </w:num>
  <w:num w:numId="19" w16cid:durableId="121382664">
    <w:abstractNumId w:val="5"/>
  </w:num>
  <w:num w:numId="20" w16cid:durableId="736629493">
    <w:abstractNumId w:val="22"/>
  </w:num>
  <w:num w:numId="21" w16cid:durableId="2094427657">
    <w:abstractNumId w:val="7"/>
  </w:num>
  <w:num w:numId="22" w16cid:durableId="1580138560">
    <w:abstractNumId w:val="19"/>
  </w:num>
  <w:num w:numId="23" w16cid:durableId="1743015944">
    <w:abstractNumId w:val="2"/>
  </w:num>
  <w:num w:numId="24" w16cid:durableId="805782885">
    <w:abstractNumId w:val="0"/>
  </w:num>
  <w:num w:numId="25" w16cid:durableId="940575847">
    <w:abstractNumId w:val="6"/>
  </w:num>
  <w:num w:numId="26" w16cid:durableId="341860171">
    <w:abstractNumId w:val="3"/>
  </w:num>
  <w:num w:numId="27" w16cid:durableId="1687369068">
    <w:abstractNumId w:val="20"/>
  </w:num>
  <w:num w:numId="28" w16cid:durableId="13845958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CA"/>
    <w:rsid w:val="000035BA"/>
    <w:rsid w:val="00005565"/>
    <w:rsid w:val="0001140D"/>
    <w:rsid w:val="00033F99"/>
    <w:rsid w:val="000406EC"/>
    <w:rsid w:val="00044DA9"/>
    <w:rsid w:val="00050F70"/>
    <w:rsid w:val="00071E96"/>
    <w:rsid w:val="000777A9"/>
    <w:rsid w:val="000831D9"/>
    <w:rsid w:val="00084688"/>
    <w:rsid w:val="000916F8"/>
    <w:rsid w:val="000A4939"/>
    <w:rsid w:val="000A7C1E"/>
    <w:rsid w:val="000B5B7A"/>
    <w:rsid w:val="000E4964"/>
    <w:rsid w:val="000F48E2"/>
    <w:rsid w:val="00113272"/>
    <w:rsid w:val="00123205"/>
    <w:rsid w:val="00130AE5"/>
    <w:rsid w:val="00142659"/>
    <w:rsid w:val="00171D24"/>
    <w:rsid w:val="00175D2D"/>
    <w:rsid w:val="00181688"/>
    <w:rsid w:val="00184A38"/>
    <w:rsid w:val="001871FD"/>
    <w:rsid w:val="00192ED1"/>
    <w:rsid w:val="001A345B"/>
    <w:rsid w:val="001A4280"/>
    <w:rsid w:val="001A53FC"/>
    <w:rsid w:val="001A66CA"/>
    <w:rsid w:val="001A7B04"/>
    <w:rsid w:val="001B0E72"/>
    <w:rsid w:val="001D43E4"/>
    <w:rsid w:val="001E2A55"/>
    <w:rsid w:val="001F0FF6"/>
    <w:rsid w:val="00230A8D"/>
    <w:rsid w:val="00253410"/>
    <w:rsid w:val="0026149D"/>
    <w:rsid w:val="002861E0"/>
    <w:rsid w:val="00290789"/>
    <w:rsid w:val="00306195"/>
    <w:rsid w:val="00314D8C"/>
    <w:rsid w:val="003644E3"/>
    <w:rsid w:val="003658C4"/>
    <w:rsid w:val="00371EF7"/>
    <w:rsid w:val="003777C0"/>
    <w:rsid w:val="00396F31"/>
    <w:rsid w:val="003A080F"/>
    <w:rsid w:val="003A3D53"/>
    <w:rsid w:val="003C006E"/>
    <w:rsid w:val="003D3A87"/>
    <w:rsid w:val="003D76BB"/>
    <w:rsid w:val="004071C4"/>
    <w:rsid w:val="004214C1"/>
    <w:rsid w:val="004333C3"/>
    <w:rsid w:val="00435BB0"/>
    <w:rsid w:val="00484DBD"/>
    <w:rsid w:val="004B3247"/>
    <w:rsid w:val="004D6CB1"/>
    <w:rsid w:val="004F771E"/>
    <w:rsid w:val="0050478A"/>
    <w:rsid w:val="00577B56"/>
    <w:rsid w:val="00596D82"/>
    <w:rsid w:val="005A1D69"/>
    <w:rsid w:val="005A5ECF"/>
    <w:rsid w:val="005A6B3A"/>
    <w:rsid w:val="005E2752"/>
    <w:rsid w:val="00606B72"/>
    <w:rsid w:val="00610646"/>
    <w:rsid w:val="00614703"/>
    <w:rsid w:val="00617F81"/>
    <w:rsid w:val="00651D25"/>
    <w:rsid w:val="00671FEB"/>
    <w:rsid w:val="006C3D1C"/>
    <w:rsid w:val="006C4F4F"/>
    <w:rsid w:val="006D4E04"/>
    <w:rsid w:val="00700948"/>
    <w:rsid w:val="00726CA3"/>
    <w:rsid w:val="007340BF"/>
    <w:rsid w:val="00753806"/>
    <w:rsid w:val="0076363A"/>
    <w:rsid w:val="007777FD"/>
    <w:rsid w:val="00790B41"/>
    <w:rsid w:val="00795A37"/>
    <w:rsid w:val="007A0A29"/>
    <w:rsid w:val="007C547F"/>
    <w:rsid w:val="008002C5"/>
    <w:rsid w:val="00810947"/>
    <w:rsid w:val="00815CE3"/>
    <w:rsid w:val="00833B06"/>
    <w:rsid w:val="00836866"/>
    <w:rsid w:val="00843FB7"/>
    <w:rsid w:val="00851118"/>
    <w:rsid w:val="00863842"/>
    <w:rsid w:val="0086661F"/>
    <w:rsid w:val="00874D78"/>
    <w:rsid w:val="008833FF"/>
    <w:rsid w:val="0088583A"/>
    <w:rsid w:val="00885A58"/>
    <w:rsid w:val="008A63DF"/>
    <w:rsid w:val="008B64C2"/>
    <w:rsid w:val="008B777F"/>
    <w:rsid w:val="008D5B66"/>
    <w:rsid w:val="008E1C24"/>
    <w:rsid w:val="008F74A0"/>
    <w:rsid w:val="00924CF5"/>
    <w:rsid w:val="00924FEF"/>
    <w:rsid w:val="00936DB5"/>
    <w:rsid w:val="0095430B"/>
    <w:rsid w:val="00955D90"/>
    <w:rsid w:val="00957927"/>
    <w:rsid w:val="00972BB1"/>
    <w:rsid w:val="009825CC"/>
    <w:rsid w:val="00993FCA"/>
    <w:rsid w:val="00996739"/>
    <w:rsid w:val="009A2407"/>
    <w:rsid w:val="009B0FF3"/>
    <w:rsid w:val="009B2122"/>
    <w:rsid w:val="009C1820"/>
    <w:rsid w:val="00A16D75"/>
    <w:rsid w:val="00A23D53"/>
    <w:rsid w:val="00A25E84"/>
    <w:rsid w:val="00A60185"/>
    <w:rsid w:val="00A9665F"/>
    <w:rsid w:val="00A9758B"/>
    <w:rsid w:val="00A97861"/>
    <w:rsid w:val="00AA30E4"/>
    <w:rsid w:val="00AA35C7"/>
    <w:rsid w:val="00AC038D"/>
    <w:rsid w:val="00AF4DA0"/>
    <w:rsid w:val="00B14BA7"/>
    <w:rsid w:val="00B22930"/>
    <w:rsid w:val="00B347DA"/>
    <w:rsid w:val="00B44C3F"/>
    <w:rsid w:val="00B50278"/>
    <w:rsid w:val="00B5174A"/>
    <w:rsid w:val="00B61882"/>
    <w:rsid w:val="00B742CD"/>
    <w:rsid w:val="00B765EB"/>
    <w:rsid w:val="00B948B6"/>
    <w:rsid w:val="00B97F06"/>
    <w:rsid w:val="00BA7B7D"/>
    <w:rsid w:val="00BA7F06"/>
    <w:rsid w:val="00BE4D04"/>
    <w:rsid w:val="00BF3539"/>
    <w:rsid w:val="00C07792"/>
    <w:rsid w:val="00C1366A"/>
    <w:rsid w:val="00C54595"/>
    <w:rsid w:val="00C56803"/>
    <w:rsid w:val="00C57E65"/>
    <w:rsid w:val="00C60EFD"/>
    <w:rsid w:val="00C63B6F"/>
    <w:rsid w:val="00C73AFA"/>
    <w:rsid w:val="00CC1591"/>
    <w:rsid w:val="00CF3A3D"/>
    <w:rsid w:val="00D078DF"/>
    <w:rsid w:val="00D11A0F"/>
    <w:rsid w:val="00D21A05"/>
    <w:rsid w:val="00D21EAD"/>
    <w:rsid w:val="00D30CE9"/>
    <w:rsid w:val="00D3462F"/>
    <w:rsid w:val="00D35101"/>
    <w:rsid w:val="00D425BA"/>
    <w:rsid w:val="00D510A0"/>
    <w:rsid w:val="00D55AF1"/>
    <w:rsid w:val="00D72552"/>
    <w:rsid w:val="00D8096E"/>
    <w:rsid w:val="00DA266C"/>
    <w:rsid w:val="00DB56CC"/>
    <w:rsid w:val="00DC5B3C"/>
    <w:rsid w:val="00DC7521"/>
    <w:rsid w:val="00E06A8E"/>
    <w:rsid w:val="00E10EB0"/>
    <w:rsid w:val="00E13D39"/>
    <w:rsid w:val="00E469E2"/>
    <w:rsid w:val="00E547B4"/>
    <w:rsid w:val="00E6059F"/>
    <w:rsid w:val="00E930EE"/>
    <w:rsid w:val="00EC17BC"/>
    <w:rsid w:val="00EE07AC"/>
    <w:rsid w:val="00EE3DE5"/>
    <w:rsid w:val="00EE4B86"/>
    <w:rsid w:val="00EE51BD"/>
    <w:rsid w:val="00F040E9"/>
    <w:rsid w:val="00F11D8B"/>
    <w:rsid w:val="00F3746E"/>
    <w:rsid w:val="00F47215"/>
    <w:rsid w:val="00F478C8"/>
    <w:rsid w:val="00F5040D"/>
    <w:rsid w:val="00F55695"/>
    <w:rsid w:val="00F57281"/>
    <w:rsid w:val="00F64263"/>
    <w:rsid w:val="00F81EBD"/>
    <w:rsid w:val="00FA2C8D"/>
    <w:rsid w:val="00FB0A20"/>
    <w:rsid w:val="00FF1BC4"/>
    <w:rsid w:val="00FF29C4"/>
    <w:rsid w:val="00FF576D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214CD"/>
  <w15:docId w15:val="{A0574A72-B70A-4B18-B8D0-6625657A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FCA"/>
    <w:pPr>
      <w:spacing w:line="252" w:lineRule="auto"/>
    </w:pPr>
    <w:rPr>
      <w:rFonts w:ascii="Arial Narrow" w:eastAsiaTheme="majorEastAsia" w:hAnsi="Arial Narrow" w:cstheme="majorBidi"/>
      <w:sz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3FC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unhideWhenUsed/>
    <w:rsid w:val="00993F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3FCA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93FCA"/>
    <w:rPr>
      <w:rFonts w:ascii="Arial Narrow" w:eastAsiaTheme="majorEastAsia" w:hAnsi="Arial Narrow" w:cstheme="majorBidi"/>
      <w:sz w:val="20"/>
      <w:szCs w:val="20"/>
      <w:lang w:eastAsia="en-US"/>
    </w:rPr>
  </w:style>
  <w:style w:type="paragraph" w:customStyle="1" w:styleId="Texte">
    <w:name w:val="Texte"/>
    <w:basedOn w:val="Normal"/>
    <w:qFormat/>
    <w:rsid w:val="00993FCA"/>
    <w:pPr>
      <w:spacing w:before="120"/>
      <w:ind w:left="720" w:right="360"/>
      <w:jc w:val="both"/>
    </w:pPr>
  </w:style>
  <w:style w:type="paragraph" w:customStyle="1" w:styleId="TitresansTM">
    <w:name w:val="Titre (sans TM)"/>
    <w:next w:val="Texte"/>
    <w:qFormat/>
    <w:rsid w:val="00033F99"/>
    <w:pPr>
      <w:keepNext/>
      <w:keepLines/>
      <w:shd w:val="clear" w:color="auto" w:fill="595959" w:themeFill="text1" w:themeFillTint="A6"/>
      <w:spacing w:before="240" w:after="240"/>
      <w:jc w:val="both"/>
    </w:pPr>
    <w:rPr>
      <w:rFonts w:ascii="Arial" w:eastAsiaTheme="majorEastAsia" w:hAnsi="Arial" w:cs="Arial"/>
      <w:b/>
      <w:bCs/>
      <w:caps/>
      <w:color w:val="FFFFFF" w:themeColor="background1"/>
      <w:spacing w:val="20"/>
      <w:lang w:eastAsia="en-US"/>
    </w:rPr>
  </w:style>
  <w:style w:type="paragraph" w:customStyle="1" w:styleId="Grandtitre">
    <w:name w:val="Grand titre"/>
    <w:basedOn w:val="Normal"/>
    <w:qFormat/>
    <w:rsid w:val="00993FCA"/>
    <w:pPr>
      <w:spacing w:after="0" w:line="240" w:lineRule="auto"/>
      <w:jc w:val="center"/>
    </w:pPr>
    <w:rPr>
      <w:rFonts w:asciiTheme="minorHAnsi" w:hAnsiTheme="minorHAnsi"/>
      <w:b/>
      <w:bCs/>
      <w:color w:val="1F497D" w:themeColor="text2"/>
      <w:spacing w:val="20"/>
      <w:sz w:val="28"/>
      <w:szCs w:val="28"/>
    </w:rPr>
  </w:style>
  <w:style w:type="table" w:styleId="Grilleclaire-Accent3">
    <w:name w:val="Light Grid Accent 3"/>
    <w:basedOn w:val="TableauNormal"/>
    <w:uiPriority w:val="62"/>
    <w:rsid w:val="00993FCA"/>
    <w:pPr>
      <w:spacing w:after="0" w:line="240" w:lineRule="auto"/>
    </w:pPr>
    <w:rPr>
      <w:rFonts w:asciiTheme="majorHAnsi" w:eastAsiaTheme="majorEastAsia" w:hAnsiTheme="majorHAnsi" w:cstheme="majorBidi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9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FCA"/>
    <w:rPr>
      <w:rFonts w:ascii="Tahoma" w:eastAsiaTheme="majorEastAsi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39"/>
    <w:rsid w:val="001A66C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84D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4DBD"/>
    <w:rPr>
      <w:rFonts w:ascii="Arial Narrow" w:eastAsiaTheme="majorEastAsia" w:hAnsi="Arial Narrow" w:cstheme="majorBidi"/>
      <w:sz w:val="2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84D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4DBD"/>
    <w:rPr>
      <w:rFonts w:ascii="Arial Narrow" w:eastAsiaTheme="majorEastAsia" w:hAnsi="Arial Narrow" w:cstheme="majorBidi"/>
      <w:sz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0F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0F70"/>
    <w:rPr>
      <w:rFonts w:ascii="Arial Narrow" w:eastAsiaTheme="majorEastAsia" w:hAnsi="Arial Narrow" w:cstheme="majorBidi"/>
      <w:b/>
      <w:bCs/>
      <w:sz w:val="20"/>
      <w:szCs w:val="2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3C006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0FF6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0FF6"/>
    <w:rPr>
      <w:rFonts w:ascii="Arial Narrow" w:eastAsiaTheme="majorEastAsia" w:hAnsi="Arial Narrow" w:cstheme="majorBid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1F0FF6"/>
    <w:rPr>
      <w:vertAlign w:val="superscript"/>
    </w:rPr>
  </w:style>
  <w:style w:type="paragraph" w:styleId="Rvision">
    <w:name w:val="Revision"/>
    <w:hidden/>
    <w:uiPriority w:val="99"/>
    <w:semiHidden/>
    <w:rsid w:val="00617F81"/>
    <w:pPr>
      <w:spacing w:after="0" w:line="240" w:lineRule="auto"/>
    </w:pPr>
    <w:rPr>
      <w:rFonts w:ascii="Arial Narrow" w:eastAsiaTheme="majorEastAsia" w:hAnsi="Arial Narrow" w:cstheme="majorBidi"/>
      <w:sz w:val="20"/>
      <w:lang w:eastAsia="en-US"/>
    </w:rPr>
  </w:style>
  <w:style w:type="table" w:customStyle="1" w:styleId="TableauGrille4-Accentuation31">
    <w:name w:val="Tableau Grille 4 - Accentuation 31"/>
    <w:basedOn w:val="TableauNormal"/>
    <w:uiPriority w:val="49"/>
    <w:rsid w:val="00BA7B7D"/>
    <w:pPr>
      <w:spacing w:after="0" w:line="240" w:lineRule="auto"/>
    </w:pPr>
    <w:rPr>
      <w:rFonts w:asciiTheme="majorHAnsi" w:eastAsiaTheme="majorEastAsia" w:hAnsiTheme="majorHAnsi" w:cstheme="majorBidi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1D43E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43E4"/>
    <w:rPr>
      <w:color w:val="605E5C"/>
      <w:shd w:val="clear" w:color="auto" w:fill="E1DFDD"/>
    </w:rPr>
  </w:style>
  <w:style w:type="table" w:styleId="TableauGrille1Clair">
    <w:name w:val="Grid Table 1 Light"/>
    <w:basedOn w:val="TableauNormal"/>
    <w:uiPriority w:val="46"/>
    <w:rsid w:val="00044DA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Texteespaceavant">
    <w:name w:val="F_Texte espace avant"/>
    <w:basedOn w:val="Normal"/>
    <w:qFormat/>
    <w:rsid w:val="00005565"/>
    <w:pPr>
      <w:spacing w:before="40" w:after="0" w:line="276" w:lineRule="auto"/>
    </w:pPr>
    <w:rPr>
      <w:rFonts w:eastAsiaTheme="minorHAnsi" w:cstheme="minorBidi"/>
      <w:sz w:val="16"/>
      <w:szCs w:val="16"/>
      <w:lang w:val="fr-FR"/>
    </w:rPr>
  </w:style>
  <w:style w:type="character" w:customStyle="1" w:styleId="Textegras">
    <w:name w:val="Texte gras"/>
    <w:basedOn w:val="Policepardfaut"/>
    <w:uiPriority w:val="1"/>
    <w:qFormat/>
    <w:rsid w:val="00005565"/>
    <w:rPr>
      <w:b/>
    </w:rPr>
  </w:style>
  <w:style w:type="paragraph" w:customStyle="1" w:styleId="Textecourant2012">
    <w:name w:val="Texte_courant_2012"/>
    <w:basedOn w:val="Normal"/>
    <w:qFormat/>
    <w:rsid w:val="00B742CD"/>
    <w:pPr>
      <w:widowControl w:val="0"/>
      <w:autoSpaceDE w:val="0"/>
      <w:autoSpaceDN w:val="0"/>
      <w:adjustRightInd w:val="0"/>
      <w:spacing w:after="120" w:line="240" w:lineRule="auto"/>
      <w:ind w:left="567"/>
    </w:pPr>
    <w:rPr>
      <w:rFonts w:ascii="Calibri" w:eastAsia="Times New Roman" w:hAnsi="Calibri" w:cs="Arial"/>
      <w:color w:val="000000"/>
      <w:sz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.cmq.org/files/documents/Pratiquer-medecine/activites-partageables/liste-act-reservees-avec-sans-ordonnance.pdf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nesss.qc.ca/fileadmin/doc/INESSS/Ordonnances_collectives/Pharyngite-amygdalite/Symptomes_pharyngite_amygdalite_PMN_INESSS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8989-8FF5-4F46-BA4B-B9B538DE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1024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Ordonnance collective - Initier une mesure diagnostique et thérapeutique chez une personne qui présente des signes et symptômes d’une pharyngite-amygdalite bactérienne</vt:lpstr>
    </vt:vector>
  </TitlesOfParts>
  <Company>MSSS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Ordonnance collective - Initier une mesure diagnostique et thérapeutique chez une personne qui présente des signes et symptômes d’une pharyngite-amygdalite bactérienne</dc:title>
  <dc:creator>Institut natinal d'excellence en santé et en services sociaux (INESSS)</dc:creator>
  <cp:keywords>SGA; strepA; Centor; test rapide; Antibiotique; Allergie; Protocole; Ordonnance collective; identification; traitement</cp:keywords>
  <cp:lastModifiedBy>Nathalie Vanier</cp:lastModifiedBy>
  <cp:revision>11</cp:revision>
  <cp:lastPrinted>2019-12-12T18:42:00Z</cp:lastPrinted>
  <dcterms:created xsi:type="dcterms:W3CDTF">2025-04-02T18:39:00Z</dcterms:created>
  <dcterms:modified xsi:type="dcterms:W3CDTF">2025-06-17T18:58:00Z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2021-08-03T13:56:48Z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4ae48ba1-8231-46ca-9c63-ac675a988198</vt:lpwstr>
  </property>
  <property fmtid="{D5CDD505-2E9C-101B-9397-08002B2CF9AE}" pid="8" name="MSIP_Label_6a7d8d5d-78e2-4a62-9fcd-016eb5e4c57c_ContentBits">
    <vt:lpwstr>0</vt:lpwstr>
  </property>
</Properties>
</file>