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2FA1" w14:textId="77777777" w:rsidR="00BC1D02" w:rsidRDefault="00BC1D02" w:rsidP="00CA617A">
      <w:pPr>
        <w:spacing w:before="60" w:after="120"/>
        <w:rPr>
          <w:rFonts w:ascii="Arial" w:hAnsi="Arial" w:cs="Arial"/>
          <w:szCs w:val="20"/>
        </w:rPr>
      </w:pPr>
    </w:p>
    <w:p w14:paraId="7EDC8CF4" w14:textId="77777777" w:rsidR="00BC1D02" w:rsidRDefault="00BC1D02" w:rsidP="000A2195">
      <w:pPr>
        <w:spacing w:before="60" w:after="0"/>
        <w:rPr>
          <w:rFonts w:ascii="Arial" w:hAnsi="Arial" w:cs="Arial"/>
          <w:szCs w:val="20"/>
        </w:rPr>
      </w:pPr>
    </w:p>
    <w:p w14:paraId="0F43497A" w14:textId="6933EF22" w:rsidR="00993FCA" w:rsidRDefault="00993FCA" w:rsidP="00CA617A">
      <w:pPr>
        <w:spacing w:before="60" w:after="120"/>
        <w:rPr>
          <w:rFonts w:ascii="Arial" w:hAnsi="Arial" w:cs="Arial"/>
          <w:szCs w:val="20"/>
        </w:rPr>
      </w:pPr>
      <w:r w:rsidRPr="00890123">
        <w:rPr>
          <w:rFonts w:ascii="Arial" w:hAnsi="Arial" w:cs="Arial"/>
          <w:szCs w:val="20"/>
        </w:rPr>
        <w:t>Établissement :</w:t>
      </w:r>
    </w:p>
    <w:p w14:paraId="0869E244" w14:textId="5259240A" w:rsidR="000A2195" w:rsidRPr="00890123" w:rsidRDefault="000A2195" w:rsidP="00CA617A">
      <w:pPr>
        <w:spacing w:before="60" w:after="120"/>
        <w:rPr>
          <w:rFonts w:ascii="Arial" w:hAnsi="Arial" w:cs="Arial"/>
          <w:szCs w:val="20"/>
        </w:rPr>
      </w:pPr>
      <w:r w:rsidRPr="000A2195">
        <w:rPr>
          <w:rFonts w:ascii="Arial" w:hAnsi="Arial" w:cs="Arial"/>
          <w:szCs w:val="20"/>
        </w:rPr>
        <w:t>Numéro de cette ordonnance collective :</w:t>
      </w:r>
    </w:p>
    <w:p w14:paraId="2FC0D443" w14:textId="7B2FB126" w:rsidR="00993FCA" w:rsidRDefault="00993FCA" w:rsidP="000A2195">
      <w:pPr>
        <w:spacing w:before="60" w:after="120"/>
      </w:pPr>
      <w:r>
        <w:rPr>
          <w:rFonts w:ascii="Arial" w:hAnsi="Arial" w:cs="Arial"/>
          <w:szCs w:val="20"/>
          <w:lang w:val="fr-FR"/>
        </w:rPr>
        <w:t>Période de validité :</w:t>
      </w:r>
    </w:p>
    <w:p w14:paraId="139BEBEE" w14:textId="77777777" w:rsidR="00993FCA" w:rsidRPr="00371EF7" w:rsidRDefault="00993FC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situation clinique ou clientèle</w:t>
      </w:r>
    </w:p>
    <w:p w14:paraId="6DDD08F7" w14:textId="4CE3C8BB" w:rsidR="00BA7B7D" w:rsidRPr="007F4FC0" w:rsidRDefault="007701B2" w:rsidP="00CA617A">
      <w:pPr>
        <w:spacing w:after="120"/>
        <w:rPr>
          <w:rFonts w:ascii="Arial" w:hAnsi="Arial" w:cs="Arial"/>
          <w:b/>
          <w:bCs/>
          <w:szCs w:val="20"/>
        </w:rPr>
      </w:pPr>
      <w:r w:rsidRPr="007701B2">
        <w:rPr>
          <w:rFonts w:ascii="Arial" w:hAnsi="Arial" w:cs="Arial"/>
          <w:b/>
          <w:bCs/>
          <w:szCs w:val="20"/>
        </w:rPr>
        <w:t>Personne âgée de plus de 28 jours, traitée par l’intermédiaire d’un des DAVC suivants :</w:t>
      </w:r>
    </w:p>
    <w:p w14:paraId="05DA56C0" w14:textId="2A1AA858" w:rsidR="007F4FC0" w:rsidRPr="007F4FC0" w:rsidRDefault="007F4FC0" w:rsidP="00CA617A">
      <w:pPr>
        <w:numPr>
          <w:ilvl w:val="0"/>
          <w:numId w:val="9"/>
        </w:numPr>
        <w:spacing w:after="60"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cathéter central inséré par voie périphérique (CCIVP)</w:t>
      </w:r>
      <w:r w:rsidR="002F0669">
        <w:rPr>
          <w:rStyle w:val="Appelnotedebasdep"/>
          <w:rFonts w:ascii="Arial" w:hAnsi="Arial" w:cs="Arial"/>
          <w:szCs w:val="20"/>
        </w:rPr>
        <w:footnoteReference w:id="1"/>
      </w:r>
      <w:r w:rsidRPr="007F4FC0">
        <w:rPr>
          <w:rFonts w:ascii="Arial" w:hAnsi="Arial" w:cs="Arial"/>
          <w:szCs w:val="20"/>
        </w:rPr>
        <w:t>;</w:t>
      </w:r>
    </w:p>
    <w:p w14:paraId="243EB880" w14:textId="5BB9019F" w:rsidR="007F4FC0" w:rsidRPr="007F4FC0" w:rsidRDefault="007F4FC0" w:rsidP="00CA617A">
      <w:pPr>
        <w:numPr>
          <w:ilvl w:val="0"/>
          <w:numId w:val="9"/>
        </w:numPr>
        <w:spacing w:after="60"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dispositif d’accès vasculaire implantable (DAVI)</w:t>
      </w:r>
      <w:r w:rsidR="002F0669">
        <w:rPr>
          <w:rStyle w:val="Appelnotedebasdep"/>
          <w:rFonts w:ascii="Arial" w:hAnsi="Arial" w:cs="Arial"/>
          <w:szCs w:val="20"/>
        </w:rPr>
        <w:footnoteReference w:id="2"/>
      </w:r>
      <w:r w:rsidRPr="007F4FC0">
        <w:rPr>
          <w:rFonts w:ascii="Arial" w:hAnsi="Arial" w:cs="Arial"/>
          <w:szCs w:val="20"/>
        </w:rPr>
        <w:t xml:space="preserve">; </w:t>
      </w:r>
    </w:p>
    <w:p w14:paraId="1538DB8C" w14:textId="63801FCE" w:rsidR="007F4FC0" w:rsidRPr="007F4FC0" w:rsidRDefault="007F4FC0" w:rsidP="00CA617A">
      <w:pPr>
        <w:numPr>
          <w:ilvl w:val="0"/>
          <w:numId w:val="9"/>
        </w:numPr>
        <w:spacing w:after="60"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DAVC de courte durée non</w:t>
      </w:r>
      <w:r w:rsidR="00BE40FF">
        <w:rPr>
          <w:rFonts w:ascii="Arial" w:hAnsi="Arial" w:cs="Arial"/>
          <w:szCs w:val="20"/>
        </w:rPr>
        <w:t> </w:t>
      </w:r>
      <w:proofErr w:type="spellStart"/>
      <w:r w:rsidRPr="007F4FC0">
        <w:rPr>
          <w:rFonts w:ascii="Arial" w:hAnsi="Arial" w:cs="Arial"/>
          <w:szCs w:val="20"/>
        </w:rPr>
        <w:t>tunnelisé</w:t>
      </w:r>
      <w:proofErr w:type="spellEnd"/>
      <w:r w:rsidRPr="007F4FC0">
        <w:rPr>
          <w:rFonts w:ascii="Arial" w:hAnsi="Arial" w:cs="Arial"/>
          <w:szCs w:val="20"/>
        </w:rPr>
        <w:t xml:space="preserve"> (jugulaire, sous-clavière et fémorale); </w:t>
      </w:r>
    </w:p>
    <w:p w14:paraId="7F6B732D" w14:textId="45510305" w:rsidR="007F4FC0" w:rsidRPr="007701B2" w:rsidRDefault="007F4FC0" w:rsidP="00CA617A">
      <w:pPr>
        <w:numPr>
          <w:ilvl w:val="0"/>
          <w:numId w:val="9"/>
        </w:numPr>
        <w:spacing w:after="240"/>
        <w:contextualSpacing/>
        <w:rPr>
          <w:rFonts w:ascii="Arial" w:hAnsi="Arial" w:cs="Arial"/>
          <w:szCs w:val="20"/>
        </w:rPr>
      </w:pPr>
      <w:r w:rsidRPr="007701B2">
        <w:rPr>
          <w:rFonts w:ascii="Arial" w:hAnsi="Arial" w:cs="Arial"/>
          <w:szCs w:val="20"/>
        </w:rPr>
        <w:t>DAVC tunnelisé ou à long terme</w:t>
      </w:r>
      <w:r w:rsidR="002F0669">
        <w:rPr>
          <w:rStyle w:val="Appelnotedebasdep"/>
          <w:rFonts w:ascii="Arial" w:hAnsi="Arial" w:cs="Arial"/>
          <w:szCs w:val="20"/>
        </w:rPr>
        <w:footnoteReference w:id="3"/>
      </w:r>
      <w:r w:rsidRPr="007701B2">
        <w:rPr>
          <w:rFonts w:ascii="Arial" w:hAnsi="Arial" w:cs="Arial"/>
          <w:szCs w:val="20"/>
        </w:rPr>
        <w:t xml:space="preserve">; </w:t>
      </w:r>
    </w:p>
    <w:p w14:paraId="25BE8300" w14:textId="151530BF" w:rsidR="007F4FC0" w:rsidRPr="007F4FC0" w:rsidRDefault="007F4FC0" w:rsidP="00CA617A">
      <w:pPr>
        <w:spacing w:after="240"/>
        <w:ind w:left="360"/>
        <w:contextualSpacing/>
        <w:rPr>
          <w:rFonts w:ascii="Arial" w:hAnsi="Arial" w:cs="Arial"/>
          <w:szCs w:val="20"/>
        </w:rPr>
      </w:pPr>
    </w:p>
    <w:p w14:paraId="582E8852" w14:textId="18B45A83" w:rsidR="007F4FC0" w:rsidRDefault="007F4FC0" w:rsidP="00CA617A">
      <w:pPr>
        <w:spacing w:after="240"/>
        <w:contextualSpacing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ET</w:t>
      </w:r>
    </w:p>
    <w:p w14:paraId="5A012051" w14:textId="77777777" w:rsidR="007F4FC0" w:rsidRPr="007F4FC0" w:rsidRDefault="007F4FC0" w:rsidP="00CA617A">
      <w:pPr>
        <w:spacing w:after="240"/>
        <w:contextualSpacing/>
        <w:rPr>
          <w:rFonts w:ascii="Arial" w:hAnsi="Arial" w:cs="Arial"/>
          <w:szCs w:val="20"/>
        </w:rPr>
      </w:pPr>
    </w:p>
    <w:p w14:paraId="0C309F1D" w14:textId="411C4FFC" w:rsidR="007F4FC0" w:rsidRPr="007F4FC0" w:rsidRDefault="007701B2" w:rsidP="00CA617A">
      <w:pPr>
        <w:spacing w:after="120"/>
        <w:rPr>
          <w:rFonts w:ascii="Arial" w:hAnsi="Arial" w:cs="Arial"/>
          <w:b/>
          <w:bCs/>
          <w:szCs w:val="20"/>
        </w:rPr>
      </w:pPr>
      <w:r w:rsidRPr="007701B2">
        <w:rPr>
          <w:rFonts w:ascii="Arial" w:hAnsi="Arial" w:cs="Arial"/>
          <w:b/>
          <w:bCs/>
          <w:szCs w:val="20"/>
        </w:rPr>
        <w:t>Qui présente, malgré les vérifications usuelles et une tentative d’irrigation avec une solution saline, une occlusion persistante telle que suggérée par la présence d’au moins un des signes suivants :</w:t>
      </w:r>
    </w:p>
    <w:p w14:paraId="4054CF89" w14:textId="77777777" w:rsidR="007F4FC0" w:rsidRPr="007F4FC0" w:rsidRDefault="007F4FC0" w:rsidP="00CA617A">
      <w:pPr>
        <w:numPr>
          <w:ilvl w:val="0"/>
          <w:numId w:val="9"/>
        </w:numPr>
        <w:spacing w:after="60"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retour sanguin lent;</w:t>
      </w:r>
    </w:p>
    <w:p w14:paraId="10AA96DC" w14:textId="77777777" w:rsidR="007F4FC0" w:rsidRPr="007F4FC0" w:rsidRDefault="007F4FC0" w:rsidP="00CA617A">
      <w:pPr>
        <w:numPr>
          <w:ilvl w:val="0"/>
          <w:numId w:val="9"/>
        </w:numPr>
        <w:spacing w:after="60"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absence de retour sanguin;</w:t>
      </w:r>
    </w:p>
    <w:p w14:paraId="7B6A3276" w14:textId="77777777" w:rsidR="007F4FC0" w:rsidRPr="007F4FC0" w:rsidRDefault="007F4FC0" w:rsidP="00CA617A">
      <w:pPr>
        <w:numPr>
          <w:ilvl w:val="0"/>
          <w:numId w:val="9"/>
        </w:numPr>
        <w:spacing w:after="60"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 xml:space="preserve">résistance à l’irrigation; </w:t>
      </w:r>
    </w:p>
    <w:p w14:paraId="341ED014" w14:textId="77777777" w:rsidR="007F4FC0" w:rsidRPr="007F4FC0" w:rsidRDefault="007F4FC0" w:rsidP="00CA617A">
      <w:pPr>
        <w:numPr>
          <w:ilvl w:val="0"/>
          <w:numId w:val="9"/>
        </w:numPr>
        <w:spacing w:after="240"/>
        <w:contextualSpacing/>
        <w:rPr>
          <w:rFonts w:ascii="Arial" w:hAnsi="Arial" w:cs="Arial"/>
          <w:szCs w:val="20"/>
        </w:rPr>
      </w:pPr>
      <w:r w:rsidRPr="007F4FC0">
        <w:rPr>
          <w:rFonts w:ascii="Arial" w:hAnsi="Arial" w:cs="Arial"/>
          <w:szCs w:val="20"/>
        </w:rPr>
        <w:t>incapacité à irriguer.</w:t>
      </w:r>
    </w:p>
    <w:p w14:paraId="3708D1BE" w14:textId="6AF4B5AA" w:rsidR="00993FCA" w:rsidRPr="00371EF7" w:rsidRDefault="00993FC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 w:line="252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professionnels </w:t>
      </w:r>
      <w:r w:rsidR="00B765EB">
        <w:rPr>
          <w:rFonts w:ascii="Arial" w:hAnsi="Arial" w:cs="Arial"/>
          <w:color w:val="FFFFFF" w:themeColor="background1"/>
          <w:sz w:val="22"/>
          <w:szCs w:val="20"/>
        </w:rPr>
        <w:t>ou personnes habilités visés par l’ordonnance</w:t>
      </w:r>
      <w:r w:rsidR="001B0E72">
        <w:rPr>
          <w:rStyle w:val="Appelnotedebasdep"/>
          <w:rFonts w:ascii="Arial" w:hAnsi="Arial" w:cs="Arial"/>
          <w:color w:val="FFFFFF" w:themeColor="background1"/>
          <w:sz w:val="22"/>
          <w:szCs w:val="20"/>
        </w:rPr>
        <w:footnoteReference w:id="4"/>
      </w:r>
    </w:p>
    <w:p w14:paraId="4CC0537E" w14:textId="39DA33CB" w:rsidR="00BA7B7D" w:rsidRPr="000414FA" w:rsidRDefault="007A0A29" w:rsidP="00CA617A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/>
        <w:ind w:left="176" w:hanging="176"/>
        <w:contextualSpacing w:val="0"/>
        <w:rPr>
          <w:rFonts w:ascii="Arial" w:hAnsi="Arial" w:cs="Arial"/>
          <w:i/>
          <w:sz w:val="18"/>
          <w:szCs w:val="18"/>
        </w:rPr>
      </w:pPr>
      <w:r w:rsidRPr="000414FA">
        <w:rPr>
          <w:rFonts w:ascii="Arial" w:hAnsi="Arial" w:cs="Arial"/>
          <w:sz w:val="18"/>
          <w:szCs w:val="18"/>
        </w:rPr>
        <w:t>L</w:t>
      </w:r>
      <w:r w:rsidRPr="000414FA">
        <w:rPr>
          <w:rFonts w:ascii="Arial" w:hAnsi="Arial" w:cs="Arial"/>
          <w:i/>
          <w:sz w:val="18"/>
          <w:szCs w:val="18"/>
        </w:rPr>
        <w:t xml:space="preserve">es milieux qui souhaitent rédiger </w:t>
      </w:r>
      <w:r>
        <w:rPr>
          <w:rFonts w:ascii="Arial" w:hAnsi="Arial" w:cs="Arial"/>
          <w:i/>
          <w:sz w:val="18"/>
          <w:szCs w:val="18"/>
        </w:rPr>
        <w:t>une</w:t>
      </w:r>
      <w:r w:rsidRPr="000414FA">
        <w:rPr>
          <w:rFonts w:ascii="Arial" w:hAnsi="Arial" w:cs="Arial"/>
          <w:i/>
          <w:sz w:val="18"/>
          <w:szCs w:val="18"/>
        </w:rPr>
        <w:t xml:space="preserve"> ordonnance collective</w:t>
      </w:r>
      <w:r w:rsidRPr="00A06D9F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à partir de ce modèle</w:t>
      </w:r>
      <w:r w:rsidRPr="000414FA">
        <w:rPr>
          <w:rFonts w:ascii="Arial" w:hAnsi="Arial" w:cs="Arial"/>
          <w:i/>
          <w:sz w:val="18"/>
          <w:szCs w:val="18"/>
        </w:rPr>
        <w:t xml:space="preserve"> </w:t>
      </w:r>
      <w:r w:rsidR="00BA7B7D" w:rsidRPr="000414FA">
        <w:rPr>
          <w:rFonts w:ascii="Arial" w:hAnsi="Arial" w:cs="Arial"/>
          <w:b/>
          <w:i/>
          <w:sz w:val="18"/>
          <w:szCs w:val="18"/>
        </w:rPr>
        <w:t>doivent spécifier dans cette section le</w:t>
      </w:r>
      <w:r w:rsidR="001A53FC">
        <w:rPr>
          <w:rFonts w:ascii="Arial" w:hAnsi="Arial" w:cs="Arial"/>
          <w:b/>
          <w:i/>
          <w:sz w:val="18"/>
          <w:szCs w:val="18"/>
        </w:rPr>
        <w:t xml:space="preserve"> ou le</w:t>
      </w:r>
      <w:r w:rsidR="00BA7B7D" w:rsidRPr="000414FA">
        <w:rPr>
          <w:rFonts w:ascii="Arial" w:hAnsi="Arial" w:cs="Arial"/>
          <w:b/>
          <w:i/>
          <w:sz w:val="18"/>
          <w:szCs w:val="18"/>
        </w:rPr>
        <w:t>s professionnels ou le</w:t>
      </w:r>
      <w:r w:rsidR="001A53FC">
        <w:rPr>
          <w:rFonts w:ascii="Arial" w:hAnsi="Arial" w:cs="Arial"/>
          <w:b/>
          <w:i/>
          <w:sz w:val="18"/>
          <w:szCs w:val="18"/>
        </w:rPr>
        <w:t xml:space="preserve"> ou le</w:t>
      </w:r>
      <w:r w:rsidR="00BA7B7D" w:rsidRPr="000414FA">
        <w:rPr>
          <w:rFonts w:ascii="Arial" w:hAnsi="Arial" w:cs="Arial"/>
          <w:b/>
          <w:i/>
          <w:sz w:val="18"/>
          <w:szCs w:val="18"/>
        </w:rPr>
        <w:t xml:space="preserve">s groupes de professionnels </w:t>
      </w:r>
      <w:r w:rsidR="00BA7B7D" w:rsidRPr="000414FA">
        <w:rPr>
          <w:rFonts w:ascii="Arial" w:hAnsi="Arial" w:cs="Arial"/>
          <w:i/>
          <w:sz w:val="18"/>
          <w:szCs w:val="18"/>
        </w:rPr>
        <w:t>qui pourront exécuter cette ordonnance. La directive en italique (</w:t>
      </w:r>
      <w:r w:rsidR="00BA7B7D" w:rsidRPr="000414FA">
        <w:rPr>
          <w:rFonts w:ascii="Arial" w:hAnsi="Arial" w:cs="Arial"/>
          <w:i/>
          <w:color w:val="FF0000"/>
          <w:sz w:val="18"/>
          <w:szCs w:val="18"/>
        </w:rPr>
        <w:t>!</w:t>
      </w:r>
      <w:r w:rsidR="00BA7B7D" w:rsidRPr="000414FA">
        <w:rPr>
          <w:rFonts w:ascii="Arial" w:hAnsi="Arial" w:cs="Arial"/>
          <w:i/>
          <w:sz w:val="18"/>
          <w:szCs w:val="18"/>
        </w:rPr>
        <w:t xml:space="preserve">) </w:t>
      </w:r>
      <w:r w:rsidR="00334420">
        <w:rPr>
          <w:rFonts w:ascii="Arial" w:hAnsi="Arial" w:cs="Arial"/>
          <w:i/>
          <w:sz w:val="18"/>
          <w:szCs w:val="18"/>
        </w:rPr>
        <w:t xml:space="preserve">devra </w:t>
      </w:r>
      <w:r w:rsidR="00BA7B7D" w:rsidRPr="000414FA">
        <w:rPr>
          <w:rFonts w:ascii="Arial" w:hAnsi="Arial" w:cs="Arial"/>
          <w:i/>
          <w:sz w:val="18"/>
          <w:szCs w:val="18"/>
        </w:rPr>
        <w:t xml:space="preserve">ensuite être retirée de la version </w:t>
      </w:r>
      <w:r w:rsidR="00BA7B7D" w:rsidRPr="00A22AC3">
        <w:rPr>
          <w:rFonts w:ascii="Arial" w:hAnsi="Arial" w:cs="Arial"/>
          <w:i/>
          <w:sz w:val="18"/>
          <w:szCs w:val="18"/>
        </w:rPr>
        <w:t>qui sera</w:t>
      </w:r>
      <w:r w:rsidR="00A22AC3" w:rsidRPr="00A22AC3">
        <w:rPr>
          <w:i/>
        </w:rPr>
        <w:t xml:space="preserve"> qui sera mise à la disposition du personnel soignant</w:t>
      </w:r>
      <w:r w:rsidR="00BA7B7D" w:rsidRPr="00A22AC3">
        <w:rPr>
          <w:rFonts w:ascii="Arial" w:hAnsi="Arial" w:cs="Arial"/>
          <w:i/>
          <w:sz w:val="18"/>
          <w:szCs w:val="18"/>
        </w:rPr>
        <w:t>.</w:t>
      </w:r>
    </w:p>
    <w:p w14:paraId="3F4E78B8" w14:textId="77777777" w:rsidR="00993FCA" w:rsidRPr="00371EF7" w:rsidRDefault="00993FC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contre-indications à l’application de l’ordonnance</w:t>
      </w:r>
    </w:p>
    <w:p w14:paraId="0C27FE41" w14:textId="6B1E5CA8" w:rsidR="007A0A29" w:rsidRPr="005B5307" w:rsidRDefault="007A0A29" w:rsidP="00CA617A">
      <w:pPr>
        <w:pStyle w:val="Paragraphedeliste"/>
        <w:numPr>
          <w:ilvl w:val="0"/>
          <w:numId w:val="33"/>
        </w:numPr>
        <w:spacing w:after="60"/>
        <w:contextualSpacing w:val="0"/>
        <w:rPr>
          <w:rFonts w:ascii="Arial" w:hAnsi="Arial" w:cs="Arial"/>
          <w:szCs w:val="20"/>
        </w:rPr>
      </w:pPr>
      <w:r w:rsidRPr="005B5307">
        <w:rPr>
          <w:rFonts w:ascii="Arial" w:hAnsi="Arial" w:cs="Arial"/>
          <w:szCs w:val="20"/>
        </w:rPr>
        <w:t>Mêmes contre-indications que celles spécifiées pour l’application du protocole médical national</w:t>
      </w:r>
      <w:r w:rsidRPr="005B5307">
        <w:rPr>
          <w:rFonts w:ascii="Arial" w:hAnsi="Arial" w:cs="Arial"/>
          <w:color w:val="000000"/>
          <w:szCs w:val="20"/>
        </w:rPr>
        <w:t xml:space="preserve"> N°</w:t>
      </w:r>
      <w:r w:rsidR="00AA7176">
        <w:rPr>
          <w:rFonts w:ascii="Arial" w:hAnsi="Arial" w:cs="Arial"/>
          <w:color w:val="000000"/>
          <w:szCs w:val="20"/>
        </w:rPr>
        <w:t>88</w:t>
      </w:r>
      <w:r w:rsidR="00334420" w:rsidRPr="005B5307">
        <w:rPr>
          <w:rFonts w:ascii="Arial" w:hAnsi="Arial" w:cs="Arial"/>
          <w:color w:val="000000"/>
          <w:szCs w:val="20"/>
        </w:rPr>
        <w:t>8015</w:t>
      </w:r>
      <w:r w:rsidRPr="005B5307">
        <w:rPr>
          <w:rFonts w:ascii="Arial" w:hAnsi="Arial" w:cs="Arial"/>
          <w:szCs w:val="20"/>
        </w:rPr>
        <w:t>, soit :</w:t>
      </w:r>
    </w:p>
    <w:p w14:paraId="14DA3E41" w14:textId="6577B3F3" w:rsidR="00227666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Hypersensibilité ou allergie connue à l’altéplase, à tout ingrédient du produit (p. ex. la </w:t>
      </w:r>
      <w:proofErr w:type="spellStart"/>
      <w:r w:rsidRPr="00AD47A8">
        <w:rPr>
          <w:rFonts w:ascii="Arial" w:hAnsi="Arial" w:cs="Arial"/>
          <w:bCs/>
          <w:iCs/>
          <w:szCs w:val="20"/>
        </w:rPr>
        <w:t>L</w:t>
      </w:r>
      <w:r w:rsidR="001D039D">
        <w:rPr>
          <w:rFonts w:ascii="Arial" w:hAnsi="Arial" w:cs="Arial"/>
          <w:bCs/>
          <w:iCs/>
          <w:szCs w:val="20"/>
        </w:rPr>
        <w:noBreakHyphen/>
      </w:r>
      <w:r w:rsidRPr="00AD47A8">
        <w:rPr>
          <w:rFonts w:ascii="Arial" w:hAnsi="Arial" w:cs="Arial"/>
          <w:bCs/>
          <w:iCs/>
          <w:szCs w:val="20"/>
        </w:rPr>
        <w:t>arginine</w:t>
      </w:r>
      <w:proofErr w:type="spellEnd"/>
      <w:r w:rsidRPr="00AD47A8">
        <w:rPr>
          <w:rFonts w:ascii="Arial" w:hAnsi="Arial" w:cs="Arial"/>
          <w:bCs/>
          <w:iCs/>
          <w:szCs w:val="20"/>
        </w:rPr>
        <w:t>, l’acide phosphorique ou le polysorbate 80) ou à un composant du contenant;</w:t>
      </w:r>
    </w:p>
    <w:p w14:paraId="7B49D47F" w14:textId="6442A348" w:rsidR="00227666" w:rsidRPr="00227666" w:rsidRDefault="00227666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227666">
        <w:rPr>
          <w:rFonts w:ascii="Arial" w:hAnsi="Arial" w:cs="Arial"/>
          <w:bCs/>
          <w:iCs/>
          <w:szCs w:val="20"/>
        </w:rPr>
        <w:t>Utilisation de 4</w:t>
      </w:r>
      <w:r w:rsidR="001D039D">
        <w:rPr>
          <w:rFonts w:ascii="Arial" w:hAnsi="Arial" w:cs="Arial"/>
          <w:bCs/>
          <w:iCs/>
          <w:szCs w:val="20"/>
        </w:rPr>
        <w:t> </w:t>
      </w:r>
      <w:r w:rsidRPr="00227666">
        <w:rPr>
          <w:rFonts w:ascii="Arial" w:hAnsi="Arial" w:cs="Arial"/>
          <w:bCs/>
          <w:iCs/>
          <w:szCs w:val="20"/>
        </w:rPr>
        <w:t>mg d’</w:t>
      </w:r>
      <w:proofErr w:type="spellStart"/>
      <w:r w:rsidRPr="00227666">
        <w:rPr>
          <w:rFonts w:ascii="Arial" w:hAnsi="Arial" w:cs="Arial"/>
          <w:bCs/>
          <w:iCs/>
          <w:szCs w:val="20"/>
        </w:rPr>
        <w:t>altéplase</w:t>
      </w:r>
      <w:proofErr w:type="spellEnd"/>
      <w:r w:rsidRPr="00227666">
        <w:rPr>
          <w:rFonts w:ascii="Arial" w:hAnsi="Arial" w:cs="Arial"/>
          <w:bCs/>
          <w:iCs/>
          <w:szCs w:val="20"/>
        </w:rPr>
        <w:t xml:space="preserve"> au cours des 24 dernières heures;</w:t>
      </w:r>
    </w:p>
    <w:p w14:paraId="7C1AFD13" w14:textId="77777777" w:rsidR="00AD47A8" w:rsidRPr="00AD47A8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DAVC utilisé dans un contexte d’hémodialyse ou cathéters mi-longs; </w:t>
      </w:r>
    </w:p>
    <w:p w14:paraId="326BB06C" w14:textId="77777777" w:rsidR="00AD47A8" w:rsidRPr="00AD47A8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Présence de saignements actifs;</w:t>
      </w:r>
    </w:p>
    <w:p w14:paraId="685BF613" w14:textId="7CF93765" w:rsidR="00AD47A8" w:rsidRPr="00AD47A8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Précipité visible dans le DAVC;</w:t>
      </w:r>
    </w:p>
    <w:p w14:paraId="2AFC24C0" w14:textId="2E477012" w:rsidR="00AD47A8" w:rsidRPr="00AD47A8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Présence d’au moins un des signes suivants </w:t>
      </w:r>
      <w:r w:rsidR="002C5A13" w:rsidRPr="002C5A13">
        <w:rPr>
          <w:rFonts w:ascii="Arial" w:hAnsi="Arial" w:cs="Arial"/>
          <w:bCs/>
          <w:iCs/>
          <w:szCs w:val="20"/>
        </w:rPr>
        <w:t>suggestifs d’une occlusion de cause mécanique</w:t>
      </w:r>
      <w:r w:rsidR="00CA617A">
        <w:rPr>
          <w:rFonts w:ascii="Arial" w:hAnsi="Arial" w:cs="Arial"/>
          <w:bCs/>
          <w:iCs/>
          <w:szCs w:val="20"/>
        </w:rPr>
        <w:t> </w:t>
      </w:r>
      <w:r w:rsidRPr="00AD47A8">
        <w:rPr>
          <w:rFonts w:ascii="Arial" w:hAnsi="Arial" w:cs="Arial"/>
          <w:bCs/>
          <w:iCs/>
          <w:szCs w:val="20"/>
        </w:rPr>
        <w:t>:</w:t>
      </w:r>
    </w:p>
    <w:p w14:paraId="261A982B" w14:textId="2F5DB877" w:rsidR="00AD47A8" w:rsidRPr="00AD47A8" w:rsidRDefault="00AD47A8" w:rsidP="00CA617A">
      <w:pPr>
        <w:pStyle w:val="Paragraphedeliste"/>
        <w:numPr>
          <w:ilvl w:val="0"/>
          <w:numId w:val="27"/>
        </w:numPr>
        <w:spacing w:after="0"/>
        <w:ind w:left="2520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compression ou coudure du DAVC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654C68DC" w14:textId="2A1B8C0D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tubulure de perfusion tordue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3F5FA573" w14:textId="7B7411BB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filtre obstrué, clamp fermé</w:t>
      </w:r>
      <w:r w:rsidR="00BE40FF">
        <w:rPr>
          <w:rFonts w:ascii="Arial" w:hAnsi="Arial" w:cs="Arial"/>
          <w:bCs/>
          <w:iCs/>
          <w:szCs w:val="20"/>
        </w:rPr>
        <w:t>,</w:t>
      </w:r>
      <w:r w:rsidRPr="00AD47A8">
        <w:rPr>
          <w:rFonts w:ascii="Arial" w:hAnsi="Arial" w:cs="Arial"/>
          <w:bCs/>
          <w:iCs/>
          <w:szCs w:val="20"/>
        </w:rPr>
        <w:t xml:space="preserve"> </w:t>
      </w:r>
    </w:p>
    <w:p w14:paraId="535B0B56" w14:textId="5E26D07A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points de suture </w:t>
      </w:r>
      <w:r w:rsidR="00BE40FF">
        <w:rPr>
          <w:rFonts w:ascii="Arial" w:hAnsi="Arial" w:cs="Arial"/>
          <w:bCs/>
          <w:iCs/>
          <w:szCs w:val="20"/>
        </w:rPr>
        <w:t xml:space="preserve">trop </w:t>
      </w:r>
      <w:r w:rsidRPr="00AD47A8">
        <w:rPr>
          <w:rFonts w:ascii="Arial" w:hAnsi="Arial" w:cs="Arial"/>
          <w:bCs/>
          <w:iCs/>
          <w:szCs w:val="20"/>
        </w:rPr>
        <w:t>serrés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66CEC4EC" w14:textId="5A96E81F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lastRenderedPageBreak/>
        <w:t>connexions de tubes desserrées</w:t>
      </w:r>
      <w:r w:rsidR="00BE40FF">
        <w:rPr>
          <w:rFonts w:ascii="Arial" w:hAnsi="Arial" w:cs="Arial"/>
          <w:bCs/>
          <w:iCs/>
          <w:szCs w:val="20"/>
        </w:rPr>
        <w:t>,</w:t>
      </w:r>
      <w:r w:rsidRPr="00AD47A8">
        <w:rPr>
          <w:rFonts w:ascii="Arial" w:hAnsi="Arial" w:cs="Arial"/>
          <w:bCs/>
          <w:iCs/>
          <w:szCs w:val="20"/>
        </w:rPr>
        <w:t xml:space="preserve"> </w:t>
      </w:r>
    </w:p>
    <w:p w14:paraId="2565740B" w14:textId="2EFAF4BA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déplacement de l’aiguille d’accès au DAVI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40218976" w14:textId="356C6648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changement dans la longueur de la portion externe du DAVC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61A347EF" w14:textId="0506FC1C" w:rsidR="00AD47A8" w:rsidRPr="00AD47A8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positionnement incorrect du DAVC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49C2BB8C" w14:textId="0BC59FA1" w:rsidR="001A7777" w:rsidRDefault="00AD47A8" w:rsidP="00CA617A">
      <w:pPr>
        <w:pStyle w:val="Paragraphedeliste"/>
        <w:numPr>
          <w:ilvl w:val="0"/>
          <w:numId w:val="27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infiltration, extravasation, œdème ou fuite au point d’insertion</w:t>
      </w:r>
      <w:r w:rsidR="001A7777">
        <w:rPr>
          <w:rFonts w:ascii="Arial" w:hAnsi="Arial" w:cs="Arial"/>
          <w:bCs/>
          <w:iCs/>
          <w:szCs w:val="20"/>
        </w:rPr>
        <w:t>,</w:t>
      </w:r>
    </w:p>
    <w:p w14:paraId="67485767" w14:textId="3789A32E" w:rsidR="00AD47A8" w:rsidRPr="001A7777" w:rsidRDefault="001A7777" w:rsidP="00CA617A">
      <w:pPr>
        <w:pStyle w:val="Paragraphedeliste"/>
        <w:numPr>
          <w:ilvl w:val="0"/>
          <w:numId w:val="27"/>
        </w:numPr>
        <w:spacing w:after="60"/>
        <w:ind w:left="2520"/>
        <w:contextualSpacing w:val="0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l</w:t>
      </w:r>
      <w:r w:rsidR="00AD47A8" w:rsidRPr="001A7777">
        <w:rPr>
          <w:rFonts w:ascii="Arial" w:hAnsi="Arial" w:cs="Arial"/>
          <w:bCs/>
          <w:iCs/>
          <w:szCs w:val="20"/>
        </w:rPr>
        <w:t xml:space="preserve">a personne traitée signale un bruit de bourdonnement ou de ruissellement dans l’oreille du côté du DAVC ou ressent une douleur ou une sensation altérée pendant la perfusion; </w:t>
      </w:r>
    </w:p>
    <w:p w14:paraId="5D4E0885" w14:textId="41E0BBCF" w:rsidR="00AD47A8" w:rsidRPr="00AD47A8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Présence d’une infection du DAVC actuel, suggéré</w:t>
      </w:r>
      <w:r w:rsidR="00765929">
        <w:rPr>
          <w:rFonts w:ascii="Arial" w:hAnsi="Arial" w:cs="Arial"/>
          <w:bCs/>
          <w:iCs/>
          <w:szCs w:val="20"/>
        </w:rPr>
        <w:t>e</w:t>
      </w:r>
      <w:r w:rsidRPr="00AD47A8">
        <w:rPr>
          <w:rFonts w:ascii="Arial" w:hAnsi="Arial" w:cs="Arial"/>
          <w:bCs/>
          <w:iCs/>
          <w:szCs w:val="20"/>
        </w:rPr>
        <w:t xml:space="preserve"> par l’un des signes suivants : </w:t>
      </w:r>
    </w:p>
    <w:p w14:paraId="15A9CB0F" w14:textId="0B387175" w:rsidR="00AD47A8" w:rsidRPr="00AD47A8" w:rsidRDefault="00AD47A8" w:rsidP="00CA617A">
      <w:pPr>
        <w:pStyle w:val="Paragraphedeliste"/>
        <w:numPr>
          <w:ilvl w:val="0"/>
          <w:numId w:val="28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fièvre, frissons, </w:t>
      </w:r>
      <w:r w:rsidR="00C21A7B">
        <w:rPr>
          <w:rFonts w:ascii="Arial" w:hAnsi="Arial" w:cs="Arial"/>
          <w:bCs/>
          <w:iCs/>
          <w:szCs w:val="20"/>
        </w:rPr>
        <w:t>malaise général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2DDFB1C7" w14:textId="0F655BCA" w:rsidR="00AD47A8" w:rsidRPr="00AD47A8" w:rsidRDefault="00AD47A8" w:rsidP="00CA617A">
      <w:pPr>
        <w:pStyle w:val="Paragraphedeliste"/>
        <w:numPr>
          <w:ilvl w:val="0"/>
          <w:numId w:val="28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signes inflammatoires locaux (chaleur, rougeur, œdème, douleur)</w:t>
      </w:r>
      <w:r w:rsidR="00BE40FF">
        <w:rPr>
          <w:rFonts w:ascii="Arial" w:hAnsi="Arial" w:cs="Arial"/>
          <w:bCs/>
          <w:iCs/>
          <w:szCs w:val="20"/>
        </w:rPr>
        <w:t>,</w:t>
      </w:r>
    </w:p>
    <w:p w14:paraId="79B3E306" w14:textId="2C8AFB82" w:rsidR="00AD47A8" w:rsidRPr="00AD47A8" w:rsidRDefault="00AD47A8" w:rsidP="00CA617A">
      <w:pPr>
        <w:pStyle w:val="Paragraphedeliste"/>
        <w:numPr>
          <w:ilvl w:val="0"/>
          <w:numId w:val="28"/>
        </w:numPr>
        <w:spacing w:after="60"/>
        <w:ind w:left="2520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>écoulement purul</w:t>
      </w:r>
      <w:r w:rsidR="00BE40FF">
        <w:rPr>
          <w:rFonts w:ascii="Arial" w:hAnsi="Arial" w:cs="Arial"/>
          <w:bCs/>
          <w:iCs/>
          <w:szCs w:val="20"/>
        </w:rPr>
        <w:t>ent</w:t>
      </w:r>
      <w:r w:rsidRPr="00AD47A8">
        <w:rPr>
          <w:rFonts w:ascii="Arial" w:hAnsi="Arial" w:cs="Arial"/>
          <w:bCs/>
          <w:iCs/>
          <w:szCs w:val="20"/>
        </w:rPr>
        <w:t xml:space="preserve"> à l’orifice du DAVC</w:t>
      </w:r>
      <w:r w:rsidR="00BE40FF">
        <w:rPr>
          <w:rFonts w:ascii="Arial" w:hAnsi="Arial" w:cs="Arial"/>
          <w:bCs/>
          <w:iCs/>
          <w:szCs w:val="20"/>
        </w:rPr>
        <w:t>;</w:t>
      </w:r>
    </w:p>
    <w:p w14:paraId="0519652E" w14:textId="77777777" w:rsidR="00AD47A8" w:rsidRPr="00AD47A8" w:rsidRDefault="00AD47A8" w:rsidP="00CA617A">
      <w:pPr>
        <w:pStyle w:val="Paragraphedeliste"/>
        <w:numPr>
          <w:ilvl w:val="0"/>
          <w:numId w:val="26"/>
        </w:numPr>
        <w:spacing w:before="60" w:after="60"/>
        <w:ind w:left="1699"/>
        <w:contextualSpacing w:val="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Présence de signes pouvant suggérer une thrombose : </w:t>
      </w:r>
    </w:p>
    <w:p w14:paraId="3A4B3CE6" w14:textId="316EDBFD" w:rsidR="00AD47A8" w:rsidRPr="00AD47A8" w:rsidRDefault="00AD47A8" w:rsidP="00CA617A">
      <w:pPr>
        <w:pStyle w:val="Paragraphedeliste"/>
        <w:numPr>
          <w:ilvl w:val="0"/>
          <w:numId w:val="29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AD47A8">
        <w:rPr>
          <w:rFonts w:ascii="Arial" w:hAnsi="Arial" w:cs="Arial"/>
          <w:bCs/>
          <w:iCs/>
          <w:szCs w:val="20"/>
        </w:rPr>
        <w:t xml:space="preserve">œdème ou douleur au </w:t>
      </w:r>
      <w:r w:rsidR="006C2D16">
        <w:rPr>
          <w:rFonts w:ascii="Arial" w:hAnsi="Arial" w:cs="Arial"/>
          <w:bCs/>
          <w:iCs/>
          <w:szCs w:val="20"/>
        </w:rPr>
        <w:t>membre</w:t>
      </w:r>
      <w:r w:rsidR="0045760E">
        <w:rPr>
          <w:rFonts w:ascii="Arial" w:hAnsi="Arial" w:cs="Arial"/>
          <w:bCs/>
          <w:iCs/>
          <w:szCs w:val="20"/>
        </w:rPr>
        <w:t>,</w:t>
      </w:r>
    </w:p>
    <w:p w14:paraId="736C1D51" w14:textId="04FA377B" w:rsidR="00AD47A8" w:rsidRPr="005B5307" w:rsidRDefault="00AD47A8" w:rsidP="00CA617A">
      <w:pPr>
        <w:pStyle w:val="Paragraphedeliste"/>
        <w:numPr>
          <w:ilvl w:val="0"/>
          <w:numId w:val="29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 xml:space="preserve">difficulté à </w:t>
      </w:r>
      <w:r w:rsidR="006C2D16">
        <w:rPr>
          <w:rFonts w:ascii="Arial" w:hAnsi="Arial" w:cs="Arial"/>
          <w:bCs/>
          <w:iCs/>
          <w:szCs w:val="20"/>
        </w:rPr>
        <w:t>bouger le membre</w:t>
      </w:r>
      <w:r w:rsidR="0045760E">
        <w:rPr>
          <w:rFonts w:ascii="Arial" w:hAnsi="Arial" w:cs="Arial"/>
          <w:bCs/>
          <w:iCs/>
          <w:szCs w:val="20"/>
        </w:rPr>
        <w:t>,</w:t>
      </w:r>
      <w:r w:rsidRPr="005B5307">
        <w:rPr>
          <w:rFonts w:ascii="Arial" w:hAnsi="Arial" w:cs="Arial"/>
          <w:bCs/>
          <w:iCs/>
          <w:szCs w:val="20"/>
        </w:rPr>
        <w:t xml:space="preserve"> </w:t>
      </w:r>
    </w:p>
    <w:p w14:paraId="15AD9D7F" w14:textId="404261F1" w:rsidR="00AD47A8" w:rsidRPr="005B5307" w:rsidRDefault="00AD47A8" w:rsidP="00CA617A">
      <w:pPr>
        <w:pStyle w:val="Paragraphedeliste"/>
        <w:numPr>
          <w:ilvl w:val="0"/>
          <w:numId w:val="29"/>
        </w:numPr>
        <w:spacing w:before="120" w:after="120"/>
        <w:ind w:left="252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>jugulaire externe distendue</w:t>
      </w:r>
      <w:r w:rsidR="0045760E">
        <w:rPr>
          <w:rFonts w:ascii="Arial" w:hAnsi="Arial" w:cs="Arial"/>
          <w:bCs/>
          <w:iCs/>
          <w:szCs w:val="20"/>
        </w:rPr>
        <w:t>,</w:t>
      </w:r>
      <w:r w:rsidRPr="005B5307">
        <w:rPr>
          <w:rFonts w:ascii="Arial" w:hAnsi="Arial" w:cs="Arial"/>
          <w:bCs/>
          <w:iCs/>
          <w:szCs w:val="20"/>
        </w:rPr>
        <w:t xml:space="preserve"> </w:t>
      </w:r>
    </w:p>
    <w:p w14:paraId="407FC85C" w14:textId="0E2F1080" w:rsidR="00AD47A8" w:rsidRPr="005B5307" w:rsidRDefault="00AD47A8" w:rsidP="00CA617A">
      <w:pPr>
        <w:pStyle w:val="Paragraphedeliste"/>
        <w:numPr>
          <w:ilvl w:val="0"/>
          <w:numId w:val="29"/>
        </w:numPr>
        <w:spacing w:before="120" w:after="60"/>
        <w:ind w:left="252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 xml:space="preserve">changement de couleur de la peau du </w:t>
      </w:r>
      <w:r w:rsidR="006C2D16">
        <w:rPr>
          <w:rFonts w:ascii="Arial" w:hAnsi="Arial" w:cs="Arial"/>
          <w:bCs/>
          <w:iCs/>
          <w:szCs w:val="20"/>
        </w:rPr>
        <w:t>membre</w:t>
      </w:r>
      <w:r w:rsidR="00355257">
        <w:rPr>
          <w:rFonts w:ascii="Arial" w:hAnsi="Arial" w:cs="Arial"/>
          <w:bCs/>
          <w:iCs/>
          <w:szCs w:val="20"/>
        </w:rPr>
        <w:t>;</w:t>
      </w:r>
    </w:p>
    <w:p w14:paraId="2377FC15" w14:textId="25503DE8" w:rsidR="002D4CE1" w:rsidRDefault="002D4CE1" w:rsidP="00CA617A">
      <w:pPr>
        <w:pStyle w:val="Paragraphedeliste"/>
        <w:numPr>
          <w:ilvl w:val="0"/>
          <w:numId w:val="34"/>
        </w:numPr>
        <w:spacing w:before="60" w:after="60"/>
        <w:ind w:left="720"/>
        <w:contextualSpacing w:val="0"/>
        <w:rPr>
          <w:rFonts w:ascii="Arial" w:hAnsi="Arial" w:cs="Arial"/>
          <w:bCs/>
          <w:iCs/>
          <w:szCs w:val="20"/>
        </w:rPr>
      </w:pPr>
      <w:r w:rsidRPr="002D4CE1">
        <w:rPr>
          <w:rFonts w:ascii="Arial" w:hAnsi="Arial" w:cs="Arial"/>
          <w:bCs/>
          <w:iCs/>
          <w:szCs w:val="20"/>
        </w:rPr>
        <w:t xml:space="preserve">Si </w:t>
      </w:r>
      <w:r w:rsidR="00C67722">
        <w:rPr>
          <w:rFonts w:ascii="Arial" w:hAnsi="Arial" w:cs="Arial"/>
          <w:bCs/>
          <w:iCs/>
          <w:szCs w:val="20"/>
        </w:rPr>
        <w:t>plus de deux lumières sur un DAVC sont obstruées</w:t>
      </w:r>
      <w:r>
        <w:rPr>
          <w:rFonts w:ascii="Arial" w:hAnsi="Arial" w:cs="Arial"/>
          <w:bCs/>
          <w:iCs/>
          <w:szCs w:val="20"/>
        </w:rPr>
        <w:t>;</w:t>
      </w:r>
    </w:p>
    <w:p w14:paraId="60D92CED" w14:textId="13A14525" w:rsidR="005B5307" w:rsidRPr="005B5307" w:rsidRDefault="005B5307" w:rsidP="00CA617A">
      <w:pPr>
        <w:pStyle w:val="Paragraphedeliste"/>
        <w:numPr>
          <w:ilvl w:val="0"/>
          <w:numId w:val="34"/>
        </w:numPr>
        <w:spacing w:before="40" w:after="60"/>
        <w:ind w:left="72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>Grossesse ou allaitement en cours;</w:t>
      </w:r>
    </w:p>
    <w:p w14:paraId="069D76DD" w14:textId="19EE038C" w:rsidR="005B5307" w:rsidRPr="005B5307" w:rsidRDefault="005B5307" w:rsidP="00CA617A">
      <w:pPr>
        <w:pStyle w:val="Paragraphedeliste"/>
        <w:numPr>
          <w:ilvl w:val="0"/>
          <w:numId w:val="34"/>
        </w:numPr>
        <w:spacing w:before="40" w:after="60"/>
        <w:ind w:left="720"/>
        <w:contextualSpacing w:val="0"/>
        <w:rPr>
          <w:rFonts w:ascii="Arial" w:hAnsi="Arial" w:cs="Arial"/>
          <w:bCs/>
          <w:iCs/>
          <w:szCs w:val="20"/>
        </w:rPr>
      </w:pPr>
      <w:bookmarkStart w:id="1" w:name="_Hlk57101988"/>
      <w:r w:rsidRPr="005B5307">
        <w:rPr>
          <w:rFonts w:ascii="Arial" w:hAnsi="Arial" w:cs="Arial"/>
          <w:bCs/>
          <w:iCs/>
          <w:szCs w:val="20"/>
        </w:rPr>
        <w:t xml:space="preserve">Antécédent de saignements </w:t>
      </w:r>
      <w:r w:rsidR="0045760E">
        <w:rPr>
          <w:rFonts w:ascii="Arial" w:hAnsi="Arial" w:cs="Arial"/>
          <w:bCs/>
          <w:iCs/>
          <w:szCs w:val="20"/>
        </w:rPr>
        <w:t>au cours d</w:t>
      </w:r>
      <w:r w:rsidRPr="005B5307">
        <w:rPr>
          <w:rFonts w:ascii="Arial" w:hAnsi="Arial" w:cs="Arial"/>
          <w:bCs/>
          <w:iCs/>
          <w:szCs w:val="20"/>
        </w:rPr>
        <w:t>es 7</w:t>
      </w:r>
      <w:r w:rsidR="00126F4B">
        <w:rPr>
          <w:rFonts w:ascii="Arial" w:hAnsi="Arial" w:cs="Arial"/>
          <w:bCs/>
          <w:iCs/>
          <w:szCs w:val="20"/>
        </w:rPr>
        <w:t>2</w:t>
      </w:r>
      <w:r w:rsidRPr="005B5307">
        <w:rPr>
          <w:rFonts w:ascii="Arial" w:hAnsi="Arial" w:cs="Arial"/>
          <w:bCs/>
          <w:iCs/>
          <w:szCs w:val="20"/>
        </w:rPr>
        <w:t> derni</w:t>
      </w:r>
      <w:r w:rsidR="00126F4B">
        <w:rPr>
          <w:rFonts w:ascii="Arial" w:hAnsi="Arial" w:cs="Arial"/>
          <w:bCs/>
          <w:iCs/>
          <w:szCs w:val="20"/>
        </w:rPr>
        <w:t>è</w:t>
      </w:r>
      <w:r w:rsidRPr="005B5307">
        <w:rPr>
          <w:rFonts w:ascii="Arial" w:hAnsi="Arial" w:cs="Arial"/>
          <w:bCs/>
          <w:iCs/>
          <w:szCs w:val="20"/>
        </w:rPr>
        <w:t>r</w:t>
      </w:r>
      <w:r w:rsidR="00126F4B">
        <w:rPr>
          <w:rFonts w:ascii="Arial" w:hAnsi="Arial" w:cs="Arial"/>
          <w:bCs/>
          <w:iCs/>
          <w:szCs w:val="20"/>
        </w:rPr>
        <w:t>e</w:t>
      </w:r>
      <w:r w:rsidRPr="005B5307">
        <w:rPr>
          <w:rFonts w:ascii="Arial" w:hAnsi="Arial" w:cs="Arial"/>
          <w:bCs/>
          <w:iCs/>
          <w:szCs w:val="20"/>
        </w:rPr>
        <w:t xml:space="preserve">s </w:t>
      </w:r>
      <w:r w:rsidR="00126F4B">
        <w:rPr>
          <w:rFonts w:ascii="Arial" w:hAnsi="Arial" w:cs="Arial"/>
          <w:bCs/>
          <w:iCs/>
          <w:szCs w:val="20"/>
        </w:rPr>
        <w:t>heures</w:t>
      </w:r>
      <w:r w:rsidRPr="005B5307">
        <w:rPr>
          <w:rFonts w:ascii="Arial" w:hAnsi="Arial" w:cs="Arial"/>
          <w:bCs/>
          <w:iCs/>
          <w:szCs w:val="20"/>
        </w:rPr>
        <w:t xml:space="preserve">; </w:t>
      </w:r>
    </w:p>
    <w:p w14:paraId="61E5ABF0" w14:textId="6CF24F26" w:rsidR="005B5307" w:rsidRPr="005B5307" w:rsidRDefault="005B5307" w:rsidP="00CA617A">
      <w:pPr>
        <w:pStyle w:val="Paragraphedeliste"/>
        <w:numPr>
          <w:ilvl w:val="0"/>
          <w:numId w:val="34"/>
        </w:numPr>
        <w:spacing w:before="40" w:after="60"/>
        <w:ind w:left="72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 xml:space="preserve">Biopsie d’un organe ou chirurgie vasculaire </w:t>
      </w:r>
      <w:r w:rsidR="0045760E">
        <w:rPr>
          <w:rFonts w:ascii="Arial" w:hAnsi="Arial" w:cs="Arial"/>
          <w:bCs/>
          <w:iCs/>
          <w:szCs w:val="20"/>
        </w:rPr>
        <w:t>au cours d</w:t>
      </w:r>
      <w:r w:rsidRPr="005B5307">
        <w:rPr>
          <w:rFonts w:ascii="Arial" w:hAnsi="Arial" w:cs="Arial"/>
          <w:bCs/>
          <w:iCs/>
          <w:szCs w:val="20"/>
        </w:rPr>
        <w:t xml:space="preserve">es </w:t>
      </w:r>
      <w:r w:rsidR="00126F4B" w:rsidRPr="005B5307">
        <w:rPr>
          <w:rFonts w:ascii="Arial" w:hAnsi="Arial" w:cs="Arial"/>
          <w:bCs/>
          <w:iCs/>
          <w:szCs w:val="20"/>
        </w:rPr>
        <w:t>7</w:t>
      </w:r>
      <w:r w:rsidR="00126F4B">
        <w:rPr>
          <w:rFonts w:ascii="Arial" w:hAnsi="Arial" w:cs="Arial"/>
          <w:bCs/>
          <w:iCs/>
          <w:szCs w:val="20"/>
        </w:rPr>
        <w:t>2</w:t>
      </w:r>
      <w:r w:rsidR="00126F4B" w:rsidRPr="005B5307">
        <w:rPr>
          <w:rFonts w:ascii="Arial" w:hAnsi="Arial" w:cs="Arial"/>
          <w:bCs/>
          <w:iCs/>
          <w:szCs w:val="20"/>
        </w:rPr>
        <w:t> derni</w:t>
      </w:r>
      <w:r w:rsidR="00126F4B">
        <w:rPr>
          <w:rFonts w:ascii="Arial" w:hAnsi="Arial" w:cs="Arial"/>
          <w:bCs/>
          <w:iCs/>
          <w:szCs w:val="20"/>
        </w:rPr>
        <w:t>è</w:t>
      </w:r>
      <w:r w:rsidR="00126F4B" w:rsidRPr="005B5307">
        <w:rPr>
          <w:rFonts w:ascii="Arial" w:hAnsi="Arial" w:cs="Arial"/>
          <w:bCs/>
          <w:iCs/>
          <w:szCs w:val="20"/>
        </w:rPr>
        <w:t>r</w:t>
      </w:r>
      <w:r w:rsidR="00126F4B">
        <w:rPr>
          <w:rFonts w:ascii="Arial" w:hAnsi="Arial" w:cs="Arial"/>
          <w:bCs/>
          <w:iCs/>
          <w:szCs w:val="20"/>
        </w:rPr>
        <w:t>e</w:t>
      </w:r>
      <w:r w:rsidR="00126F4B" w:rsidRPr="005B5307">
        <w:rPr>
          <w:rFonts w:ascii="Arial" w:hAnsi="Arial" w:cs="Arial"/>
          <w:bCs/>
          <w:iCs/>
          <w:szCs w:val="20"/>
        </w:rPr>
        <w:t xml:space="preserve">s </w:t>
      </w:r>
      <w:r w:rsidR="00126F4B">
        <w:rPr>
          <w:rFonts w:ascii="Arial" w:hAnsi="Arial" w:cs="Arial"/>
          <w:bCs/>
          <w:iCs/>
          <w:szCs w:val="20"/>
        </w:rPr>
        <w:t>heures</w:t>
      </w:r>
      <w:r w:rsidRPr="005B5307">
        <w:rPr>
          <w:rFonts w:ascii="Arial" w:hAnsi="Arial" w:cs="Arial"/>
          <w:bCs/>
          <w:iCs/>
          <w:szCs w:val="20"/>
        </w:rPr>
        <w:t xml:space="preserve">; </w:t>
      </w:r>
    </w:p>
    <w:bookmarkEnd w:id="1"/>
    <w:p w14:paraId="4302041C" w14:textId="15A33D3D" w:rsidR="005B5307" w:rsidRPr="005B5307" w:rsidRDefault="005B5307" w:rsidP="00CA617A">
      <w:pPr>
        <w:pStyle w:val="Paragraphedeliste"/>
        <w:numPr>
          <w:ilvl w:val="0"/>
          <w:numId w:val="34"/>
        </w:numPr>
        <w:spacing w:before="40" w:after="60"/>
        <w:ind w:left="72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 xml:space="preserve">Neurochirurgie, traumatisme crânien, AVC ou accident ischémique transitoire </w:t>
      </w:r>
      <w:r w:rsidR="0045760E">
        <w:rPr>
          <w:rFonts w:ascii="Arial" w:hAnsi="Arial" w:cs="Arial"/>
          <w:bCs/>
          <w:iCs/>
          <w:szCs w:val="20"/>
        </w:rPr>
        <w:t>au cours d</w:t>
      </w:r>
      <w:r w:rsidRPr="005B5307">
        <w:rPr>
          <w:rFonts w:ascii="Arial" w:hAnsi="Arial" w:cs="Arial"/>
          <w:bCs/>
          <w:iCs/>
          <w:szCs w:val="20"/>
        </w:rPr>
        <w:t>es 48 dernières heures;</w:t>
      </w:r>
    </w:p>
    <w:p w14:paraId="3E2FCFE9" w14:textId="36F83EF2" w:rsidR="005B5307" w:rsidRPr="005B5307" w:rsidRDefault="005B5307" w:rsidP="00CA617A">
      <w:pPr>
        <w:pStyle w:val="Paragraphedeliste"/>
        <w:numPr>
          <w:ilvl w:val="0"/>
          <w:numId w:val="34"/>
        </w:numPr>
        <w:spacing w:before="40" w:after="60"/>
        <w:ind w:left="72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 xml:space="preserve">Accouchement </w:t>
      </w:r>
      <w:r w:rsidR="0045760E">
        <w:rPr>
          <w:rFonts w:ascii="Arial" w:hAnsi="Arial" w:cs="Arial"/>
          <w:bCs/>
          <w:iCs/>
          <w:szCs w:val="20"/>
        </w:rPr>
        <w:t>au cours d</w:t>
      </w:r>
      <w:r w:rsidRPr="005B5307">
        <w:rPr>
          <w:rFonts w:ascii="Arial" w:hAnsi="Arial" w:cs="Arial"/>
          <w:bCs/>
          <w:iCs/>
          <w:szCs w:val="20"/>
        </w:rPr>
        <w:t>es 48 dernières heures;</w:t>
      </w:r>
    </w:p>
    <w:p w14:paraId="02ECE403" w14:textId="6C938ED8" w:rsidR="005B5307" w:rsidRPr="005B5307" w:rsidRDefault="005B5307" w:rsidP="00CA617A">
      <w:pPr>
        <w:pStyle w:val="Paragraphedeliste"/>
        <w:numPr>
          <w:ilvl w:val="0"/>
          <w:numId w:val="34"/>
        </w:numPr>
        <w:spacing w:before="40" w:after="240"/>
        <w:ind w:left="72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 xml:space="preserve">Épidurale ou rachianesthésie </w:t>
      </w:r>
      <w:r w:rsidR="0045760E">
        <w:rPr>
          <w:rFonts w:ascii="Arial" w:hAnsi="Arial" w:cs="Arial"/>
          <w:bCs/>
          <w:iCs/>
          <w:szCs w:val="20"/>
        </w:rPr>
        <w:t>au cours d</w:t>
      </w:r>
      <w:r w:rsidRPr="005B5307">
        <w:rPr>
          <w:rFonts w:ascii="Arial" w:hAnsi="Arial" w:cs="Arial"/>
          <w:bCs/>
          <w:iCs/>
          <w:szCs w:val="20"/>
        </w:rPr>
        <w:t>es 6 dernières heures.</w:t>
      </w:r>
    </w:p>
    <w:p w14:paraId="4F7A1434" w14:textId="12A449EF" w:rsidR="00993FCA" w:rsidRPr="00371EF7" w:rsidRDefault="00B5174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t>PROTOCOLE MÉDICAL</w:t>
      </w:r>
      <w:r w:rsidR="00181688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="00181688" w:rsidRPr="00EE4B86">
        <w:rPr>
          <w:rFonts w:ascii="Arial" w:hAnsi="Arial" w:cs="Arial"/>
          <w:color w:val="FFFFFF" w:themeColor="background1"/>
          <w:sz w:val="22"/>
          <w:szCs w:val="20"/>
        </w:rPr>
        <w:t>NATIONAL</w:t>
      </w:r>
    </w:p>
    <w:p w14:paraId="383BE81F" w14:textId="3359464A" w:rsidR="00BA7B7D" w:rsidRPr="00E46BBB" w:rsidRDefault="00BA7B7D" w:rsidP="00CA617A">
      <w:pPr>
        <w:pStyle w:val="Texte"/>
        <w:ind w:left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 référer</w:t>
      </w:r>
      <w:r w:rsidRPr="001C16F4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au protocole médical national N°</w:t>
      </w:r>
      <w:r w:rsidR="00AA7176">
        <w:rPr>
          <w:rFonts w:ascii="Arial" w:hAnsi="Arial" w:cs="Arial"/>
          <w:color w:val="000000"/>
          <w:szCs w:val="20"/>
        </w:rPr>
        <w:t>88</w:t>
      </w:r>
      <w:r w:rsidR="00334420" w:rsidRPr="00334420">
        <w:rPr>
          <w:rFonts w:ascii="Arial" w:hAnsi="Arial" w:cs="Arial"/>
          <w:color w:val="000000"/>
          <w:szCs w:val="20"/>
        </w:rPr>
        <w:t>8015</w:t>
      </w:r>
      <w:r w:rsidR="00334420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de l’Institut national d’excellence en santé et en services sociaux</w:t>
      </w:r>
      <w:r>
        <w:t xml:space="preserve"> </w:t>
      </w:r>
      <w:r w:rsidR="001A53FC">
        <w:rPr>
          <w:rFonts w:ascii="Arial" w:hAnsi="Arial" w:cs="Arial"/>
          <w:color w:val="000000"/>
          <w:szCs w:val="20"/>
        </w:rPr>
        <w:t xml:space="preserve">publié sur </w:t>
      </w:r>
      <w:r w:rsidR="00355257">
        <w:rPr>
          <w:rFonts w:ascii="Arial" w:hAnsi="Arial" w:cs="Arial"/>
          <w:color w:val="000000"/>
          <w:szCs w:val="20"/>
        </w:rPr>
        <w:t>son</w:t>
      </w:r>
      <w:r w:rsidR="001A53FC">
        <w:rPr>
          <w:rFonts w:ascii="Arial" w:hAnsi="Arial" w:cs="Arial"/>
          <w:color w:val="000000"/>
          <w:szCs w:val="20"/>
        </w:rPr>
        <w:t xml:space="preserve"> site W</w:t>
      </w:r>
      <w:r w:rsidRPr="0098573B">
        <w:rPr>
          <w:rFonts w:ascii="Arial" w:hAnsi="Arial" w:cs="Arial"/>
          <w:color w:val="000000"/>
          <w:szCs w:val="20"/>
        </w:rPr>
        <w:t xml:space="preserve">eb </w:t>
      </w:r>
      <w:r>
        <w:rPr>
          <w:rFonts w:ascii="Arial" w:hAnsi="Arial" w:cs="Arial"/>
          <w:color w:val="000000"/>
          <w:szCs w:val="20"/>
        </w:rPr>
        <w:t xml:space="preserve">au moment de l’application de cette </w:t>
      </w:r>
      <w:r w:rsidRPr="0098573B">
        <w:rPr>
          <w:rFonts w:ascii="Arial" w:hAnsi="Arial" w:cs="Arial"/>
          <w:color w:val="000000"/>
          <w:szCs w:val="20"/>
        </w:rPr>
        <w:t>ordonnance</w:t>
      </w:r>
      <w:r>
        <w:rPr>
          <w:rFonts w:ascii="Arial" w:hAnsi="Arial" w:cs="Arial"/>
          <w:color w:val="000000"/>
          <w:szCs w:val="20"/>
        </w:rPr>
        <w:t>.</w:t>
      </w:r>
    </w:p>
    <w:p w14:paraId="7869DF66" w14:textId="538893F5" w:rsidR="00993FCA" w:rsidRPr="00371EF7" w:rsidRDefault="00A9758B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rPr>
          <w:rFonts w:ascii="Arial" w:hAnsi="Arial" w:cs="Arial"/>
          <w:color w:val="FFFFFF" w:themeColor="background1"/>
          <w:sz w:val="22"/>
          <w:szCs w:val="22"/>
        </w:rPr>
      </w:pPr>
      <w:r w:rsidRPr="00A9758B">
        <w:rPr>
          <w:rFonts w:ascii="Arial" w:hAnsi="Arial" w:cs="Arial"/>
          <w:color w:val="FFFFFF" w:themeColor="background1"/>
          <w:sz w:val="22"/>
          <w:szCs w:val="22"/>
        </w:rPr>
        <w:t>Limites ou situations pour</w:t>
      </w:r>
      <w:r w:rsidR="00A25E84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A9758B">
        <w:rPr>
          <w:rFonts w:ascii="Arial" w:hAnsi="Arial" w:cs="Arial"/>
          <w:color w:val="FFFFFF" w:themeColor="background1"/>
          <w:sz w:val="22"/>
          <w:szCs w:val="22"/>
        </w:rPr>
        <w:t>lesquelles une consultation avec un prescripteur autorisé est obligatoire</w:t>
      </w:r>
    </w:p>
    <w:p w14:paraId="7C48E7E5" w14:textId="2F2B486C" w:rsidR="005B5307" w:rsidRPr="005B5307" w:rsidRDefault="005B5307" w:rsidP="00CA617A">
      <w:pPr>
        <w:pStyle w:val="Paragraphedeliste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bCs/>
          <w:iCs/>
          <w:szCs w:val="20"/>
        </w:rPr>
      </w:pPr>
      <w:bookmarkStart w:id="2" w:name="_Hlk56411161"/>
      <w:r w:rsidRPr="005B5307">
        <w:rPr>
          <w:rFonts w:ascii="Arial" w:hAnsi="Arial" w:cs="Arial"/>
          <w:bCs/>
          <w:iCs/>
          <w:szCs w:val="20"/>
        </w:rPr>
        <w:t>Utilisation de l’</w:t>
      </w:r>
      <w:r w:rsidR="0045760E">
        <w:rPr>
          <w:rFonts w:ascii="Arial" w:hAnsi="Arial" w:cs="Arial"/>
          <w:bCs/>
          <w:iCs/>
          <w:szCs w:val="20"/>
        </w:rPr>
        <w:t>ordonnance collective</w:t>
      </w:r>
      <w:r w:rsidRPr="005B5307">
        <w:rPr>
          <w:rFonts w:ascii="Arial" w:hAnsi="Arial" w:cs="Arial"/>
          <w:bCs/>
          <w:iCs/>
          <w:szCs w:val="20"/>
        </w:rPr>
        <w:t xml:space="preserve"> une troisième fois pour un même </w:t>
      </w:r>
      <w:proofErr w:type="spellStart"/>
      <w:proofErr w:type="gramStart"/>
      <w:r w:rsidRPr="005B5307">
        <w:rPr>
          <w:rFonts w:ascii="Arial" w:hAnsi="Arial" w:cs="Arial"/>
          <w:bCs/>
          <w:iCs/>
          <w:szCs w:val="20"/>
        </w:rPr>
        <w:t>DAVC</w:t>
      </w:r>
      <w:r w:rsidR="00334660">
        <w:rPr>
          <w:rFonts w:ascii="Arial" w:hAnsi="Arial" w:cs="Arial"/>
          <w:bCs/>
          <w:iCs/>
          <w:szCs w:val="20"/>
        </w:rPr>
        <w:t>,</w:t>
      </w:r>
      <w:r w:rsidR="00334660" w:rsidRPr="00334660">
        <w:rPr>
          <w:rFonts w:ascii="Arial" w:hAnsi="Arial" w:cs="Arial"/>
          <w:bCs/>
          <w:iCs/>
          <w:szCs w:val="20"/>
        </w:rPr>
        <w:t>peu</w:t>
      </w:r>
      <w:proofErr w:type="spellEnd"/>
      <w:proofErr w:type="gramEnd"/>
      <w:r w:rsidR="00334660" w:rsidRPr="00334660">
        <w:rPr>
          <w:rFonts w:ascii="Arial" w:hAnsi="Arial" w:cs="Arial"/>
          <w:bCs/>
          <w:iCs/>
          <w:szCs w:val="20"/>
        </w:rPr>
        <w:t xml:space="preserve"> importe le délai entre les utilisations de l’OC</w:t>
      </w:r>
      <w:r w:rsidRPr="005B5307">
        <w:rPr>
          <w:rFonts w:ascii="Arial" w:hAnsi="Arial" w:cs="Arial"/>
          <w:bCs/>
          <w:iCs/>
          <w:szCs w:val="20"/>
        </w:rPr>
        <w:t xml:space="preserve">; </w:t>
      </w:r>
    </w:p>
    <w:p w14:paraId="13F53BF2" w14:textId="470A2BE0" w:rsidR="005B5307" w:rsidRPr="005B5307" w:rsidRDefault="005B5307" w:rsidP="00CA617A">
      <w:pPr>
        <w:pStyle w:val="Paragraphedeliste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>Échec du traitement à l’altéplase</w:t>
      </w:r>
      <w:r w:rsidR="00054083">
        <w:rPr>
          <w:rFonts w:ascii="Arial" w:hAnsi="Arial" w:cs="Arial"/>
          <w:bCs/>
          <w:iCs/>
          <w:szCs w:val="20"/>
        </w:rPr>
        <w:t>,</w:t>
      </w:r>
      <w:r w:rsidR="00C21A7B">
        <w:rPr>
          <w:rFonts w:ascii="Arial" w:hAnsi="Arial" w:cs="Arial"/>
          <w:bCs/>
          <w:iCs/>
          <w:szCs w:val="20"/>
        </w:rPr>
        <w:t xml:space="preserve"> </w:t>
      </w:r>
      <w:r w:rsidR="00C21A7B" w:rsidRPr="00C21A7B">
        <w:rPr>
          <w:rFonts w:ascii="Arial" w:hAnsi="Arial" w:cs="Arial"/>
          <w:bCs/>
          <w:iCs/>
          <w:szCs w:val="20"/>
        </w:rPr>
        <w:t>soit après deux doses d’altéplase chez les personnes de plus de 30</w:t>
      </w:r>
      <w:r w:rsidR="00054083">
        <w:rPr>
          <w:rFonts w:ascii="Arial" w:hAnsi="Arial" w:cs="Arial"/>
          <w:bCs/>
          <w:iCs/>
          <w:szCs w:val="20"/>
        </w:rPr>
        <w:t> </w:t>
      </w:r>
      <w:r w:rsidR="00C21A7B" w:rsidRPr="00C21A7B">
        <w:rPr>
          <w:rFonts w:ascii="Arial" w:hAnsi="Arial" w:cs="Arial"/>
          <w:bCs/>
          <w:iCs/>
          <w:szCs w:val="20"/>
        </w:rPr>
        <w:t>kg ou après une seule dose d’altéplase chez les personnes de 30</w:t>
      </w:r>
      <w:r w:rsidR="00CA617A">
        <w:rPr>
          <w:rFonts w:ascii="Arial" w:hAnsi="Arial" w:cs="Arial"/>
          <w:bCs/>
          <w:iCs/>
          <w:szCs w:val="20"/>
        </w:rPr>
        <w:t> </w:t>
      </w:r>
      <w:r w:rsidR="00C21A7B" w:rsidRPr="00C21A7B">
        <w:rPr>
          <w:rFonts w:ascii="Arial" w:hAnsi="Arial" w:cs="Arial"/>
          <w:bCs/>
          <w:iCs/>
          <w:szCs w:val="20"/>
        </w:rPr>
        <w:t>kg et moins</w:t>
      </w:r>
      <w:r w:rsidRPr="005B5307">
        <w:rPr>
          <w:rFonts w:ascii="Arial" w:hAnsi="Arial" w:cs="Arial"/>
          <w:bCs/>
          <w:iCs/>
          <w:szCs w:val="20"/>
        </w:rPr>
        <w:t>;</w:t>
      </w:r>
    </w:p>
    <w:p w14:paraId="42098137" w14:textId="269A19E1" w:rsidR="005B5307" w:rsidRDefault="005B5307" w:rsidP="00CA617A">
      <w:pPr>
        <w:pStyle w:val="Paragraphedeliste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>Complications hémorragiques ou allergiques secondaires au traitement;</w:t>
      </w:r>
    </w:p>
    <w:p w14:paraId="60FB0710" w14:textId="00DF9293" w:rsidR="005B5307" w:rsidRPr="005B5307" w:rsidRDefault="005B5307" w:rsidP="00CA617A">
      <w:pPr>
        <w:pStyle w:val="Paragraphedeliste"/>
        <w:numPr>
          <w:ilvl w:val="0"/>
          <w:numId w:val="31"/>
        </w:numPr>
        <w:spacing w:before="120" w:after="120"/>
        <w:rPr>
          <w:rFonts w:ascii="Arial" w:hAnsi="Arial" w:cs="Arial"/>
          <w:bCs/>
          <w:iCs/>
          <w:szCs w:val="20"/>
        </w:rPr>
      </w:pPr>
      <w:r w:rsidRPr="005B5307">
        <w:rPr>
          <w:rFonts w:ascii="Arial" w:hAnsi="Arial" w:cs="Arial"/>
          <w:bCs/>
          <w:iCs/>
          <w:szCs w:val="20"/>
        </w:rPr>
        <w:t>Apparition d’effets indésirables</w:t>
      </w:r>
      <w:r w:rsidR="00C21A7B" w:rsidRPr="00C21A7B">
        <w:t xml:space="preserve"> </w:t>
      </w:r>
      <w:r w:rsidR="00C21A7B" w:rsidRPr="00C21A7B">
        <w:rPr>
          <w:rFonts w:ascii="Arial" w:hAnsi="Arial" w:cs="Arial"/>
          <w:bCs/>
          <w:iCs/>
          <w:szCs w:val="20"/>
        </w:rPr>
        <w:t>pendant le traitement</w:t>
      </w:r>
      <w:r w:rsidRPr="005B5307">
        <w:rPr>
          <w:rFonts w:ascii="Arial" w:hAnsi="Arial" w:cs="Arial"/>
          <w:bCs/>
          <w:iCs/>
          <w:szCs w:val="20"/>
        </w:rPr>
        <w:t>.</w:t>
      </w:r>
    </w:p>
    <w:bookmarkEnd w:id="2"/>
    <w:p w14:paraId="421EDA56" w14:textId="50FD10E2" w:rsidR="00993FCA" w:rsidRPr="00371EF7" w:rsidRDefault="00B5174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 w:line="252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documentation</w:t>
      </w:r>
    </w:p>
    <w:p w14:paraId="4BA8F1B1" w14:textId="3707FC25" w:rsidR="00C54595" w:rsidRPr="00C63CA3" w:rsidRDefault="00C54595" w:rsidP="00CA617A">
      <w:pPr>
        <w:spacing w:before="240" w:after="240"/>
        <w:rPr>
          <w:rFonts w:ascii="Arial" w:hAnsi="Arial" w:cs="Arial"/>
          <w:szCs w:val="20"/>
        </w:rPr>
      </w:pPr>
      <w:r w:rsidRPr="00C63CA3">
        <w:rPr>
          <w:rFonts w:ascii="Arial" w:hAnsi="Arial" w:cs="Arial"/>
          <w:szCs w:val="20"/>
        </w:rPr>
        <w:t xml:space="preserve">Remplir le formulaire </w:t>
      </w:r>
      <w:r w:rsidRPr="00144DFB">
        <w:rPr>
          <w:rFonts w:ascii="Arial" w:hAnsi="Arial" w:cs="Arial"/>
          <w:szCs w:val="20"/>
        </w:rPr>
        <w:t>de liaison pour le pharmacien communautaire,</w:t>
      </w:r>
      <w:r w:rsidRPr="00C63CA3">
        <w:rPr>
          <w:rFonts w:ascii="Arial" w:hAnsi="Arial" w:cs="Arial"/>
          <w:szCs w:val="20"/>
        </w:rPr>
        <w:t xml:space="preserve"> s’il y a lieu</w:t>
      </w:r>
      <w:r>
        <w:rPr>
          <w:rFonts w:ascii="Arial" w:hAnsi="Arial" w:cs="Arial"/>
          <w:szCs w:val="20"/>
        </w:rPr>
        <w:t>. C</w:t>
      </w:r>
      <w:r w:rsidRPr="00C63CA3">
        <w:rPr>
          <w:rFonts w:ascii="Arial" w:hAnsi="Arial" w:cs="Arial"/>
          <w:szCs w:val="20"/>
        </w:rPr>
        <w:t xml:space="preserve">onsulter le </w:t>
      </w:r>
      <w:r>
        <w:rPr>
          <w:rFonts w:ascii="Arial" w:hAnsi="Arial" w:cs="Arial"/>
          <w:szCs w:val="20"/>
        </w:rPr>
        <w:t>gabarit</w:t>
      </w:r>
      <w:r w:rsidRPr="00C63CA3">
        <w:rPr>
          <w:rFonts w:ascii="Arial" w:hAnsi="Arial" w:cs="Arial"/>
          <w:szCs w:val="20"/>
        </w:rPr>
        <w:t xml:space="preserve"> disponible dans la section </w:t>
      </w:r>
      <w:r w:rsidR="00054083">
        <w:rPr>
          <w:rFonts w:ascii="Arial" w:hAnsi="Arial" w:cs="Arial"/>
          <w:szCs w:val="20"/>
        </w:rPr>
        <w:t>« </w:t>
      </w:r>
      <w:hyperlink r:id="rId8" w:history="1">
        <w:r w:rsidRPr="00CA617A">
          <w:rPr>
            <w:rStyle w:val="Lienhypertexte"/>
            <w:rFonts w:ascii="Arial" w:hAnsi="Arial" w:cs="Arial"/>
            <w:szCs w:val="20"/>
          </w:rPr>
          <w:t>Protocoles médicaux nationaux et ordonnances associées</w:t>
        </w:r>
      </w:hyperlink>
      <w:r w:rsidR="00054083">
        <w:rPr>
          <w:rFonts w:ascii="Arial" w:hAnsi="Arial" w:cs="Arial"/>
          <w:szCs w:val="20"/>
        </w:rPr>
        <w:t> »</w:t>
      </w:r>
      <w:r w:rsidRPr="00C63CA3">
        <w:rPr>
          <w:rFonts w:ascii="Arial" w:hAnsi="Arial" w:cs="Arial"/>
          <w:szCs w:val="20"/>
        </w:rPr>
        <w:t xml:space="preserve"> sur le site Web de l'INESSS.</w:t>
      </w:r>
    </w:p>
    <w:p w14:paraId="5244949D" w14:textId="1BD96B92" w:rsidR="00993FCA" w:rsidRPr="00371EF7" w:rsidRDefault="00993FC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identification du prescripteur</w:t>
      </w:r>
      <w:r w:rsidR="00F040E9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="008B64C2">
        <w:rPr>
          <w:rFonts w:ascii="Arial" w:hAnsi="Arial" w:cs="Arial"/>
          <w:color w:val="FFFFFF" w:themeColor="background1"/>
          <w:sz w:val="22"/>
          <w:szCs w:val="20"/>
        </w:rPr>
        <w:t xml:space="preserve">autorisé </w:t>
      </w:r>
      <w:r w:rsidR="00C54595">
        <w:rPr>
          <w:rFonts w:ascii="Arial" w:hAnsi="Arial" w:cs="Arial"/>
          <w:color w:val="FFFFFF" w:themeColor="background1"/>
          <w:sz w:val="22"/>
          <w:szCs w:val="20"/>
        </w:rPr>
        <w:t>répondant</w:t>
      </w:r>
    </w:p>
    <w:p w14:paraId="663553FD" w14:textId="1642023D" w:rsidR="001D039D" w:rsidRPr="001B260F" w:rsidRDefault="00C54595" w:rsidP="00CA617A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/>
        <w:ind w:left="173" w:hanging="173"/>
        <w:contextualSpacing w:val="0"/>
        <w:rPr>
          <w:rFonts w:ascii="Arial" w:hAnsi="Arial" w:cs="Arial"/>
          <w:b/>
          <w:bCs/>
          <w:caps/>
          <w:color w:val="FFFFFF" w:themeColor="background1"/>
          <w:spacing w:val="20"/>
          <w:sz w:val="22"/>
          <w:szCs w:val="20"/>
        </w:rPr>
      </w:pPr>
      <w:r w:rsidRPr="001B260F">
        <w:rPr>
          <w:rFonts w:ascii="Arial" w:hAnsi="Arial" w:cs="Arial"/>
          <w:sz w:val="18"/>
          <w:szCs w:val="18"/>
        </w:rPr>
        <w:t>L</w:t>
      </w:r>
      <w:r w:rsidRPr="001B260F">
        <w:rPr>
          <w:rFonts w:ascii="Arial" w:hAnsi="Arial" w:cs="Arial"/>
          <w:i/>
          <w:sz w:val="18"/>
          <w:szCs w:val="18"/>
        </w:rPr>
        <w:t>es milieux qui souhaitent rédiger une ordonnance collective</w:t>
      </w:r>
      <w:r w:rsidRPr="001B260F">
        <w:rPr>
          <w:rFonts w:ascii="Arial" w:hAnsi="Arial" w:cs="Arial"/>
          <w:i/>
          <w:sz w:val="18"/>
          <w:szCs w:val="20"/>
        </w:rPr>
        <w:t xml:space="preserve"> à partir de ce modèle</w:t>
      </w:r>
      <w:r w:rsidRPr="001B260F">
        <w:rPr>
          <w:rFonts w:ascii="Arial" w:hAnsi="Arial" w:cs="Arial"/>
          <w:i/>
          <w:sz w:val="18"/>
          <w:szCs w:val="18"/>
        </w:rPr>
        <w:t xml:space="preserve"> </w:t>
      </w:r>
      <w:r w:rsidRPr="001B260F">
        <w:rPr>
          <w:rFonts w:ascii="Arial" w:hAnsi="Arial" w:cs="Arial"/>
          <w:b/>
          <w:i/>
          <w:sz w:val="18"/>
          <w:szCs w:val="18"/>
        </w:rPr>
        <w:t>doivent spécifier dans cette section le mécanisme d’identification du médecin prescripteur</w:t>
      </w:r>
      <w:r w:rsidR="008B64C2" w:rsidRPr="001B260F">
        <w:rPr>
          <w:rFonts w:ascii="Arial" w:hAnsi="Arial" w:cs="Arial"/>
          <w:b/>
          <w:i/>
          <w:sz w:val="18"/>
          <w:szCs w:val="18"/>
        </w:rPr>
        <w:t xml:space="preserve"> autorisé</w:t>
      </w:r>
      <w:r w:rsidRPr="001B260F">
        <w:rPr>
          <w:rFonts w:ascii="Arial" w:hAnsi="Arial" w:cs="Arial"/>
          <w:b/>
          <w:i/>
          <w:sz w:val="18"/>
          <w:szCs w:val="18"/>
        </w:rPr>
        <w:t xml:space="preserve"> répondant </w:t>
      </w:r>
      <w:r w:rsidRPr="001B260F">
        <w:rPr>
          <w:rFonts w:ascii="Arial" w:hAnsi="Arial" w:cs="Arial"/>
          <w:i/>
          <w:sz w:val="18"/>
          <w:szCs w:val="18"/>
        </w:rPr>
        <w:t>qui devra être indiqué sur le formulaire de liaison lors de l’individualisation de cette ordonnance collective. La directive en italique (</w:t>
      </w:r>
      <w:r w:rsidRPr="001B260F">
        <w:rPr>
          <w:rFonts w:ascii="Arial" w:hAnsi="Arial" w:cs="Arial"/>
          <w:i/>
          <w:color w:val="FF0000"/>
          <w:sz w:val="18"/>
          <w:szCs w:val="18"/>
        </w:rPr>
        <w:t>!</w:t>
      </w:r>
      <w:r w:rsidRPr="001B260F">
        <w:rPr>
          <w:rFonts w:ascii="Arial" w:hAnsi="Arial" w:cs="Arial"/>
          <w:i/>
          <w:sz w:val="18"/>
          <w:szCs w:val="18"/>
        </w:rPr>
        <w:t>) d</w:t>
      </w:r>
      <w:r w:rsidR="00A96750" w:rsidRPr="001B260F">
        <w:rPr>
          <w:rFonts w:ascii="Arial" w:hAnsi="Arial" w:cs="Arial"/>
          <w:i/>
          <w:sz w:val="18"/>
          <w:szCs w:val="18"/>
        </w:rPr>
        <w:t>evra</w:t>
      </w:r>
      <w:r w:rsidRPr="001B260F">
        <w:rPr>
          <w:rFonts w:ascii="Arial" w:hAnsi="Arial" w:cs="Arial"/>
          <w:i/>
          <w:sz w:val="18"/>
          <w:szCs w:val="18"/>
        </w:rPr>
        <w:t xml:space="preserve"> ensuite être retirée de la version qui sera </w:t>
      </w:r>
      <w:r w:rsidR="00AF19E9" w:rsidRPr="001B260F">
        <w:rPr>
          <w:i/>
        </w:rPr>
        <w:t>mise à la disposition du personnel soignant</w:t>
      </w:r>
      <w:r w:rsidRPr="001B260F">
        <w:rPr>
          <w:rFonts w:ascii="Arial" w:hAnsi="Arial" w:cs="Arial"/>
          <w:i/>
          <w:sz w:val="18"/>
          <w:szCs w:val="18"/>
        </w:rPr>
        <w:t>.</w:t>
      </w:r>
      <w:r w:rsidR="001D039D" w:rsidRPr="001B260F">
        <w:rPr>
          <w:rFonts w:ascii="Arial" w:hAnsi="Arial" w:cs="Arial"/>
          <w:color w:val="FFFFFF" w:themeColor="background1"/>
          <w:sz w:val="22"/>
          <w:szCs w:val="20"/>
        </w:rPr>
        <w:br w:type="page"/>
      </w:r>
    </w:p>
    <w:p w14:paraId="35F52037" w14:textId="11A4469B" w:rsidR="00993FCA" w:rsidRPr="00371EF7" w:rsidRDefault="00993FCA" w:rsidP="00CA617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lastRenderedPageBreak/>
        <w:t>processus de mise en vigueur</w:t>
      </w:r>
    </w:p>
    <w:p w14:paraId="17E1A371" w14:textId="6592B3A7" w:rsidR="00993FCA" w:rsidRPr="003A080F" w:rsidRDefault="00993FCA" w:rsidP="00CA617A">
      <w:pPr>
        <w:pStyle w:val="Texte"/>
        <w:numPr>
          <w:ilvl w:val="0"/>
          <w:numId w:val="1"/>
        </w:numPr>
        <w:spacing w:before="240" w:after="240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Élaboration de la version actuelle  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(identification du ou des </w:t>
      </w:r>
      <w:r w:rsidR="00C54595">
        <w:rPr>
          <w:rFonts w:ascii="Arial" w:hAnsi="Arial" w:cs="Arial"/>
          <w:b/>
          <w:color w:val="000000" w:themeColor="text1"/>
          <w:sz w:val="12"/>
        </w:rPr>
        <w:t>prescripteurs autorisés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 concernés et des personnes responsables, le cas échéant)</w:t>
      </w:r>
    </w:p>
    <w:p w14:paraId="4647E823" w14:textId="27EB42E0" w:rsidR="00993FCA" w:rsidRPr="003A080F" w:rsidRDefault="00993FCA" w:rsidP="00CA617A">
      <w:pPr>
        <w:pStyle w:val="Texte"/>
        <w:numPr>
          <w:ilvl w:val="0"/>
          <w:numId w:val="1"/>
        </w:numPr>
        <w:spacing w:before="240" w:after="240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VALIDATION DE LA VERSION ACTUELLE </w:t>
      </w: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(identification du ou des </w:t>
      </w:r>
      <w:r w:rsidR="00C54595">
        <w:rPr>
          <w:rFonts w:ascii="Arial" w:hAnsi="Arial" w:cs="Arial"/>
          <w:b/>
          <w:color w:val="000000" w:themeColor="text1"/>
          <w:sz w:val="12"/>
        </w:rPr>
        <w:t>prescripteurs autorisés</w:t>
      </w:r>
      <w:r w:rsidRPr="003A080F">
        <w:rPr>
          <w:rFonts w:ascii="Arial" w:hAnsi="Arial" w:cs="Arial"/>
          <w:b/>
          <w:color w:val="000000" w:themeColor="text1"/>
          <w:sz w:val="12"/>
        </w:rPr>
        <w:t xml:space="preserve"> concernés et des personnes responsables, le cas échéant)</w:t>
      </w:r>
    </w:p>
    <w:p w14:paraId="4FA1687F" w14:textId="1A8541F8" w:rsidR="00993FCA" w:rsidRPr="003A080F" w:rsidRDefault="00993FCA" w:rsidP="00CA617A">
      <w:pPr>
        <w:pStyle w:val="Paragraphedeliste"/>
        <w:numPr>
          <w:ilvl w:val="0"/>
          <w:numId w:val="1"/>
        </w:numPr>
        <w:spacing w:before="240" w:after="240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APPROBATION DE LA VERSION ACTUELLE PAR LE REPRÉSENTANT DU </w:t>
      </w:r>
      <w:r w:rsidR="00B05234" w:rsidRPr="00B05234">
        <w:rPr>
          <w:rFonts w:ascii="Arial" w:eastAsia="Arial Unicode MS" w:hAnsi="Arial" w:cs="Arial"/>
          <w:b/>
          <w:caps/>
          <w:color w:val="000000" w:themeColor="text1"/>
          <w:szCs w:val="20"/>
        </w:rPr>
        <w:t>Conseils de médecins, dentistes et pharmaciens</w:t>
      </w:r>
      <w:r w:rsidR="00B05234">
        <w:rPr>
          <w:rFonts w:ascii="Arial" w:eastAsia="Arial Unicode MS" w:hAnsi="Arial" w:cs="Arial"/>
          <w:b/>
          <w:color w:val="000000" w:themeColor="text1"/>
          <w:szCs w:val="20"/>
        </w:rPr>
        <w:t xml:space="preserve"> (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CMDP</w:t>
      </w:r>
      <w:r w:rsidR="00B05234">
        <w:rPr>
          <w:rFonts w:ascii="Arial" w:eastAsia="Arial Unicode MS" w:hAnsi="Arial" w:cs="Arial"/>
          <w:b/>
          <w:color w:val="000000" w:themeColor="text1"/>
          <w:szCs w:val="20"/>
        </w:rPr>
        <w:t>)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 DE L’ÉTABLISSEMENT</w:t>
      </w:r>
    </w:p>
    <w:p w14:paraId="7E32AB8C" w14:textId="21955365" w:rsidR="00993FCA" w:rsidRPr="003A080F" w:rsidRDefault="00993FCA" w:rsidP="00CA617A">
      <w:pPr>
        <w:tabs>
          <w:tab w:val="left" w:pos="5670"/>
        </w:tabs>
        <w:spacing w:before="60" w:after="24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Nom :</w:t>
      </w:r>
      <w:r w:rsidRPr="003A080F">
        <w:rPr>
          <w:rFonts w:ascii="Arial" w:hAnsi="Arial" w:cs="Arial"/>
          <w:color w:val="000000" w:themeColor="text1"/>
        </w:rPr>
        <w:tab/>
        <w:t>Prénom :</w:t>
      </w:r>
    </w:p>
    <w:p w14:paraId="78EC0AC6" w14:textId="78AD0AA7" w:rsidR="00993FCA" w:rsidRPr="003A080F" w:rsidRDefault="00993FCA" w:rsidP="00CA617A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Signature :</w:t>
      </w:r>
      <w:r w:rsidRPr="003A080F">
        <w:rPr>
          <w:rFonts w:ascii="Arial" w:hAnsi="Arial" w:cs="Arial"/>
          <w:color w:val="000000" w:themeColor="text1"/>
        </w:rPr>
        <w:tab/>
        <w:t>Date :</w:t>
      </w:r>
    </w:p>
    <w:p w14:paraId="126643F2" w14:textId="77777777" w:rsidR="00993FCA" w:rsidRPr="003A080F" w:rsidRDefault="00993FCA" w:rsidP="00CA617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784951AF" w14:textId="77777777" w:rsidR="00993FCA" w:rsidRPr="003A080F" w:rsidRDefault="00993FCA" w:rsidP="00CA617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2FCF9E50" w14:textId="739BC2E3" w:rsidR="00993FCA" w:rsidRPr="003A080F" w:rsidRDefault="00993FCA" w:rsidP="00CA617A">
      <w:pPr>
        <w:pStyle w:val="Paragraphedeliste"/>
        <w:numPr>
          <w:ilvl w:val="0"/>
          <w:numId w:val="1"/>
        </w:numPr>
        <w:spacing w:before="240" w:after="240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APPROBATION DE LA VERSION ACTUELLE PAR LES </w:t>
      </w:r>
      <w:r w:rsidR="00700948">
        <w:rPr>
          <w:rFonts w:ascii="Arial" w:eastAsia="Arial Unicode MS" w:hAnsi="Arial" w:cs="Arial"/>
          <w:b/>
          <w:color w:val="000000" w:themeColor="text1"/>
          <w:szCs w:val="20"/>
        </w:rPr>
        <w:t xml:space="preserve">PRESCRIPTEURS AUTORISÉS 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SIGNATAIRES (HORS ÉTABLISSEMENT)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3A080F" w:rsidRPr="003A080F" w14:paraId="04A2B60B" w14:textId="77777777" w:rsidTr="003A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77777777" w:rsidR="00993FCA" w:rsidRPr="003A080F" w:rsidRDefault="00993FCA" w:rsidP="00CA617A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et prénom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77777777" w:rsidR="00993FCA" w:rsidRPr="003A080F" w:rsidRDefault="00993FCA" w:rsidP="00CA617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Numéro de permis</w:t>
            </w: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77777777" w:rsidR="00993FCA" w:rsidRPr="003A080F" w:rsidRDefault="00993FCA" w:rsidP="00CA617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77777777" w:rsidR="00993FCA" w:rsidRPr="003A080F" w:rsidRDefault="00993FCA" w:rsidP="00CA617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Téléphone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77777777" w:rsidR="00993FCA" w:rsidRPr="003A080F" w:rsidRDefault="00993FCA" w:rsidP="00CA617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Télécopieur</w:t>
            </w:r>
          </w:p>
        </w:tc>
      </w:tr>
      <w:tr w:rsidR="00993FCA" w:rsidRPr="00890123" w14:paraId="3E67E672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8D56C4A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FBD627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9FEB60E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B366274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955D2DB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0DD6A9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890123" w:rsidRDefault="00993FCA" w:rsidP="00CA617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17A8E3A6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890123" w:rsidRDefault="00993FCA" w:rsidP="00CA617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890123" w:rsidRDefault="00993FCA" w:rsidP="00CA617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226A7" w14:textId="77777777" w:rsidR="00993FCA" w:rsidRDefault="00993FCA" w:rsidP="00CA617A">
      <w:pPr>
        <w:spacing w:before="60" w:after="60"/>
        <w:ind w:firstLine="567"/>
        <w:rPr>
          <w:rFonts w:ascii="Arial" w:hAnsi="Arial" w:cs="Arial"/>
        </w:rPr>
      </w:pPr>
    </w:p>
    <w:p w14:paraId="3001BC38" w14:textId="77777777" w:rsidR="00993FCA" w:rsidRPr="003A080F" w:rsidRDefault="00993FCA" w:rsidP="00CA617A">
      <w:pPr>
        <w:pStyle w:val="Paragraphedeliste"/>
        <w:numPr>
          <w:ilvl w:val="0"/>
          <w:numId w:val="1"/>
        </w:numPr>
        <w:spacing w:before="240" w:after="240"/>
        <w:ind w:left="567" w:hanging="567"/>
        <w:rPr>
          <w:rFonts w:ascii="Arial" w:eastAsia="Arial Unicode MS" w:hAnsi="Arial" w:cs="Arial"/>
          <w:b/>
          <w:szCs w:val="20"/>
        </w:rPr>
      </w:pPr>
      <w:r w:rsidRPr="003A080F">
        <w:rPr>
          <w:rFonts w:ascii="Arial" w:eastAsia="Arial Unicode MS" w:hAnsi="Arial" w:cs="Arial"/>
          <w:b/>
          <w:szCs w:val="20"/>
        </w:rPr>
        <w:t>RÉVISION</w:t>
      </w:r>
    </w:p>
    <w:p w14:paraId="4D9E8B3B" w14:textId="77777777" w:rsidR="00993FCA" w:rsidRPr="00890123" w:rsidRDefault="00993FCA" w:rsidP="00CA617A">
      <w:pPr>
        <w:spacing w:before="60" w:after="120"/>
        <w:ind w:left="567"/>
        <w:rPr>
          <w:rFonts w:ascii="Arial" w:hAnsi="Arial" w:cs="Arial"/>
        </w:rPr>
      </w:pPr>
      <w:r w:rsidRPr="00D21A05">
        <w:rPr>
          <w:rFonts w:ascii="Arial" w:hAnsi="Arial" w:cs="Arial"/>
        </w:rPr>
        <w:t>Date d’entrée en vigueur :</w:t>
      </w:r>
    </w:p>
    <w:p w14:paraId="56503CEF" w14:textId="77777777" w:rsidR="00993FCA" w:rsidRPr="00890123" w:rsidRDefault="00993FCA" w:rsidP="00CA617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de la dernière révision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5F3E893E" w14:textId="77777777" w:rsidR="00993FCA" w:rsidRPr="00890123" w:rsidRDefault="00993FCA" w:rsidP="00CA617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prévue de la prochaine révision :</w:t>
      </w:r>
    </w:p>
    <w:p w14:paraId="7D24095A" w14:textId="3B716F88" w:rsidR="00993FCA" w:rsidRPr="00890123" w:rsidRDefault="00993FCA" w:rsidP="00CA617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 xml:space="preserve">Signature du </w:t>
      </w:r>
      <w:r w:rsidR="00700948">
        <w:rPr>
          <w:rFonts w:ascii="Arial" w:hAnsi="Arial" w:cs="Arial"/>
        </w:rPr>
        <w:t>prescripteur autorisé</w:t>
      </w:r>
      <w:r w:rsidRPr="00890123">
        <w:rPr>
          <w:rFonts w:ascii="Arial" w:hAnsi="Arial" w:cs="Arial"/>
        </w:rPr>
        <w:t xml:space="preserve"> répondant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6A87CF3C" w14:textId="77777777" w:rsidR="00993FCA" w:rsidRPr="00890123" w:rsidRDefault="00993FCA" w:rsidP="00CA617A">
      <w:pPr>
        <w:spacing w:before="60" w:after="60"/>
        <w:ind w:left="567"/>
        <w:rPr>
          <w:rFonts w:ascii="Arial" w:hAnsi="Arial" w:cs="Arial"/>
        </w:rPr>
      </w:pPr>
    </w:p>
    <w:p w14:paraId="77260F47" w14:textId="369585ED" w:rsidR="00924CF5" w:rsidRDefault="00993FCA" w:rsidP="00CA617A">
      <w:pPr>
        <w:tabs>
          <w:tab w:val="left" w:pos="5670"/>
        </w:tabs>
        <w:spacing w:before="60" w:after="60"/>
        <w:ind w:left="567"/>
      </w:pPr>
      <w:r w:rsidRPr="00890123">
        <w:rPr>
          <w:rFonts w:ascii="Arial" w:hAnsi="Arial" w:cs="Arial"/>
        </w:rPr>
        <w:t>Signature :</w:t>
      </w:r>
      <w:r w:rsidR="008002C5">
        <w:rPr>
          <w:rFonts w:ascii="Arial" w:hAnsi="Arial" w:cs="Arial"/>
        </w:rPr>
        <w:tab/>
      </w:r>
      <w:r w:rsidRPr="00890123">
        <w:rPr>
          <w:rFonts w:ascii="Arial" w:hAnsi="Arial" w:cs="Arial"/>
        </w:rPr>
        <w:t>Date :</w:t>
      </w:r>
    </w:p>
    <w:sectPr w:rsidR="00924CF5" w:rsidSect="004E1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A798" w14:textId="77777777" w:rsidR="00A86267" w:rsidRDefault="00A86267" w:rsidP="00484DBD">
      <w:pPr>
        <w:spacing w:after="0" w:line="240" w:lineRule="auto"/>
      </w:pPr>
      <w:r>
        <w:separator/>
      </w:r>
    </w:p>
  </w:endnote>
  <w:endnote w:type="continuationSeparator" w:id="0">
    <w:p w14:paraId="47C0F6B1" w14:textId="77777777" w:rsidR="00A86267" w:rsidRDefault="00A86267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4"/>
      </w:rPr>
    </w:sdtEndPr>
    <w:sdtContent>
      <w:p w14:paraId="73A2611A" w14:textId="6F08F671" w:rsidR="003C006E" w:rsidRPr="001B260F" w:rsidRDefault="00CA617A" w:rsidP="00CA617A">
        <w:pPr>
          <w:pStyle w:val="Pieddepage"/>
          <w:tabs>
            <w:tab w:val="clear" w:pos="4320"/>
            <w:tab w:val="clear" w:pos="8640"/>
            <w:tab w:val="right" w:pos="9900"/>
          </w:tabs>
          <w:spacing w:before="120"/>
          <w:rPr>
            <w:rFonts w:ascii="Arial" w:hAnsi="Arial" w:cs="Arial"/>
            <w:sz w:val="18"/>
            <w:szCs w:val="14"/>
          </w:rPr>
        </w:pPr>
        <w:r w:rsidRPr="00CA617A">
          <w:rPr>
            <w:sz w:val="18"/>
            <w:szCs w:val="14"/>
          </w:rPr>
          <w:t>Mars 2021</w:t>
        </w:r>
        <w:r>
          <w:rPr>
            <w:szCs w:val="16"/>
          </w:rPr>
          <w:tab/>
        </w:r>
        <w:r w:rsidR="003C006E" w:rsidRPr="001B260F">
          <w:rPr>
            <w:rFonts w:ascii="Arial" w:hAnsi="Arial" w:cs="Arial"/>
            <w:b/>
            <w:sz w:val="18"/>
            <w:szCs w:val="14"/>
          </w:rPr>
          <w:t>INESSS</w:t>
        </w:r>
        <w:r w:rsidR="003C006E" w:rsidRPr="001B260F">
          <w:rPr>
            <w:rFonts w:ascii="Arial" w:hAnsi="Arial" w:cs="Arial"/>
            <w:sz w:val="18"/>
            <w:szCs w:val="14"/>
          </w:rPr>
          <w:t xml:space="preserve"> | </w:t>
        </w:r>
        <w:r w:rsidR="00AA30E4" w:rsidRPr="001B260F">
          <w:rPr>
            <w:rFonts w:ascii="Arial" w:hAnsi="Arial" w:cs="Arial"/>
            <w:sz w:val="18"/>
            <w:szCs w:val="14"/>
          </w:rPr>
          <w:t>O</w:t>
        </w:r>
        <w:r w:rsidR="003C006E" w:rsidRPr="001B260F">
          <w:rPr>
            <w:rFonts w:ascii="Arial" w:hAnsi="Arial" w:cs="Arial"/>
            <w:sz w:val="18"/>
            <w:szCs w:val="14"/>
          </w:rPr>
          <w:t xml:space="preserve">rdonnance </w:t>
        </w:r>
        <w:r w:rsidR="0095430B" w:rsidRPr="001B260F">
          <w:rPr>
            <w:rFonts w:ascii="Arial" w:hAnsi="Arial" w:cs="Arial"/>
            <w:sz w:val="18"/>
            <w:szCs w:val="14"/>
          </w:rPr>
          <w:t xml:space="preserve">collective – </w:t>
        </w:r>
        <w:r w:rsidR="002D4487" w:rsidRPr="001B260F">
          <w:rPr>
            <w:rFonts w:ascii="Arial" w:hAnsi="Arial" w:cs="Arial"/>
            <w:sz w:val="18"/>
            <w:szCs w:val="14"/>
          </w:rPr>
          <w:t>Désobstruction DAVC</w:t>
        </w:r>
        <w:r w:rsidR="0095430B" w:rsidRPr="001B260F" w:rsidDel="0095430B">
          <w:rPr>
            <w:rFonts w:ascii="Arial" w:hAnsi="Arial" w:cs="Arial"/>
            <w:sz w:val="18"/>
            <w:szCs w:val="14"/>
          </w:rPr>
          <w:t xml:space="preserve"> </w:t>
        </w:r>
        <w:r>
          <w:rPr>
            <w:rFonts w:ascii="Arial" w:hAnsi="Arial" w:cs="Arial"/>
            <w:sz w:val="18"/>
            <w:szCs w:val="14"/>
          </w:rPr>
          <w:t xml:space="preserve">  </w:t>
        </w:r>
        <w:r w:rsidR="0095430B" w:rsidRPr="001B260F">
          <w:rPr>
            <w:rFonts w:ascii="Arial" w:hAnsi="Arial" w:cs="Arial"/>
            <w:sz w:val="18"/>
            <w:szCs w:val="14"/>
          </w:rPr>
          <w:t xml:space="preserve"> </w:t>
        </w:r>
        <w:r w:rsidR="003C006E" w:rsidRPr="001B260F">
          <w:rPr>
            <w:rFonts w:ascii="Arial" w:hAnsi="Arial" w:cs="Arial"/>
            <w:sz w:val="18"/>
            <w:szCs w:val="14"/>
          </w:rPr>
          <w:fldChar w:fldCharType="begin"/>
        </w:r>
        <w:r w:rsidR="003C006E" w:rsidRPr="001B260F">
          <w:rPr>
            <w:rFonts w:ascii="Arial" w:hAnsi="Arial" w:cs="Arial"/>
            <w:sz w:val="18"/>
            <w:szCs w:val="14"/>
          </w:rPr>
          <w:instrText>PAGE   \* MERGEFORMAT</w:instrText>
        </w:r>
        <w:r w:rsidR="003C006E" w:rsidRPr="001B260F">
          <w:rPr>
            <w:rFonts w:ascii="Arial" w:hAnsi="Arial" w:cs="Arial"/>
            <w:sz w:val="18"/>
            <w:szCs w:val="14"/>
          </w:rPr>
          <w:fldChar w:fldCharType="separate"/>
        </w:r>
        <w:r w:rsidR="00A9665F" w:rsidRPr="001B260F">
          <w:rPr>
            <w:rFonts w:ascii="Arial" w:hAnsi="Arial" w:cs="Arial"/>
            <w:noProof/>
            <w:sz w:val="18"/>
            <w:szCs w:val="14"/>
          </w:rPr>
          <w:t>2</w:t>
        </w:r>
        <w:r w:rsidR="003C006E" w:rsidRPr="001B260F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18939991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4"/>
      </w:rPr>
    </w:sdtEndPr>
    <w:sdtContent>
      <w:p w14:paraId="253F2069" w14:textId="30D31E8A" w:rsidR="003C006E" w:rsidRPr="00CA617A" w:rsidRDefault="00CA617A" w:rsidP="00CA617A">
        <w:pPr>
          <w:pStyle w:val="Pieddepage"/>
          <w:tabs>
            <w:tab w:val="clear" w:pos="4320"/>
            <w:tab w:val="clear" w:pos="8640"/>
            <w:tab w:val="right" w:pos="9900"/>
          </w:tabs>
          <w:spacing w:before="120"/>
          <w:rPr>
            <w:rFonts w:ascii="Arial" w:hAnsi="Arial" w:cs="Arial"/>
            <w:sz w:val="18"/>
            <w:szCs w:val="14"/>
          </w:rPr>
        </w:pPr>
        <w:r w:rsidRPr="00CA617A">
          <w:rPr>
            <w:sz w:val="18"/>
            <w:szCs w:val="14"/>
          </w:rPr>
          <w:t>Mars 2021</w:t>
        </w:r>
        <w:r>
          <w:rPr>
            <w:szCs w:val="16"/>
          </w:rPr>
          <w:tab/>
        </w:r>
        <w:r w:rsidRPr="001B260F">
          <w:rPr>
            <w:rFonts w:ascii="Arial" w:hAnsi="Arial" w:cs="Arial"/>
            <w:b/>
            <w:sz w:val="18"/>
            <w:szCs w:val="14"/>
          </w:rPr>
          <w:t>INESSS</w:t>
        </w:r>
        <w:r w:rsidRPr="001B260F">
          <w:rPr>
            <w:rFonts w:ascii="Arial" w:hAnsi="Arial" w:cs="Arial"/>
            <w:sz w:val="18"/>
            <w:szCs w:val="14"/>
          </w:rPr>
          <w:t xml:space="preserve"> | Ordonnance collective – Désobstruction DAVC</w:t>
        </w:r>
        <w:r w:rsidRPr="001B260F" w:rsidDel="0095430B">
          <w:rPr>
            <w:rFonts w:ascii="Arial" w:hAnsi="Arial" w:cs="Arial"/>
            <w:sz w:val="18"/>
            <w:szCs w:val="14"/>
          </w:rPr>
          <w:t xml:space="preserve"> </w:t>
        </w:r>
        <w:r>
          <w:rPr>
            <w:rFonts w:ascii="Arial" w:hAnsi="Arial" w:cs="Arial"/>
            <w:sz w:val="18"/>
            <w:szCs w:val="14"/>
          </w:rPr>
          <w:t xml:space="preserve">  </w:t>
        </w:r>
        <w:r w:rsidRPr="001B260F">
          <w:rPr>
            <w:rFonts w:ascii="Arial" w:hAnsi="Arial" w:cs="Arial"/>
            <w:sz w:val="18"/>
            <w:szCs w:val="14"/>
          </w:rPr>
          <w:t xml:space="preserve"> </w:t>
        </w:r>
        <w:r w:rsidRPr="001B260F">
          <w:rPr>
            <w:rFonts w:ascii="Arial" w:hAnsi="Arial" w:cs="Arial"/>
            <w:sz w:val="18"/>
            <w:szCs w:val="14"/>
          </w:rPr>
          <w:fldChar w:fldCharType="begin"/>
        </w:r>
        <w:r w:rsidRPr="001B260F">
          <w:rPr>
            <w:rFonts w:ascii="Arial" w:hAnsi="Arial" w:cs="Arial"/>
            <w:sz w:val="18"/>
            <w:szCs w:val="14"/>
          </w:rPr>
          <w:instrText>PAGE   \* MERGEFORMAT</w:instrText>
        </w:r>
        <w:r w:rsidRPr="001B260F">
          <w:rPr>
            <w:rFonts w:ascii="Arial" w:hAnsi="Arial" w:cs="Arial"/>
            <w:sz w:val="18"/>
            <w:szCs w:val="14"/>
          </w:rPr>
          <w:fldChar w:fldCharType="separate"/>
        </w:r>
        <w:r>
          <w:rPr>
            <w:rFonts w:ascii="Arial" w:hAnsi="Arial" w:cs="Arial"/>
            <w:sz w:val="18"/>
            <w:szCs w:val="14"/>
          </w:rPr>
          <w:t>2</w:t>
        </w:r>
        <w:r w:rsidRPr="001B260F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B0EF" w14:textId="77777777" w:rsidR="00A86267" w:rsidRDefault="00A86267" w:rsidP="00484DBD">
      <w:pPr>
        <w:spacing w:after="0" w:line="240" w:lineRule="auto"/>
      </w:pPr>
      <w:bookmarkStart w:id="0" w:name="_Hlk65653049"/>
      <w:bookmarkEnd w:id="0"/>
      <w:r>
        <w:separator/>
      </w:r>
    </w:p>
  </w:footnote>
  <w:footnote w:type="continuationSeparator" w:id="0">
    <w:p w14:paraId="3BBB0361" w14:textId="77777777" w:rsidR="00A86267" w:rsidRDefault="00A86267" w:rsidP="00484DBD">
      <w:pPr>
        <w:spacing w:after="0" w:line="240" w:lineRule="auto"/>
      </w:pPr>
      <w:r>
        <w:continuationSeparator/>
      </w:r>
    </w:p>
  </w:footnote>
  <w:footnote w:id="1">
    <w:p w14:paraId="4749763A" w14:textId="120AF0C1" w:rsidR="002F0669" w:rsidRPr="00CA617A" w:rsidRDefault="002F0669">
      <w:pPr>
        <w:pStyle w:val="Notedebasdepage"/>
        <w:rPr>
          <w:rFonts w:cs="Arial"/>
          <w:sz w:val="16"/>
          <w:szCs w:val="16"/>
        </w:rPr>
      </w:pPr>
      <w:r w:rsidRPr="00CA617A">
        <w:rPr>
          <w:rStyle w:val="Appelnotedebasdep"/>
          <w:rFonts w:cs="Arial"/>
          <w:sz w:val="16"/>
          <w:szCs w:val="16"/>
        </w:rPr>
        <w:footnoteRef/>
      </w:r>
      <w:r w:rsidRPr="00CA617A">
        <w:rPr>
          <w:rFonts w:cs="Arial"/>
          <w:sz w:val="16"/>
          <w:szCs w:val="16"/>
        </w:rPr>
        <w:t xml:space="preserve"> </w:t>
      </w:r>
      <w:r w:rsidR="00BE40FF" w:rsidRPr="00CA617A">
        <w:rPr>
          <w:rFonts w:cs="Arial"/>
          <w:sz w:val="16"/>
          <w:szCs w:val="16"/>
        </w:rPr>
        <w:t>A</w:t>
      </w:r>
      <w:r w:rsidRPr="00CA617A">
        <w:rPr>
          <w:rFonts w:cs="Arial"/>
          <w:sz w:val="16"/>
          <w:szCs w:val="16"/>
        </w:rPr>
        <w:t xml:space="preserve">ussi appelé PICC (de l’anglais </w:t>
      </w:r>
      <w:r w:rsidRPr="00CA617A">
        <w:rPr>
          <w:rFonts w:cs="Arial"/>
          <w:i/>
          <w:iCs/>
          <w:sz w:val="16"/>
          <w:szCs w:val="16"/>
        </w:rPr>
        <w:t>peripherally inserted central catheters</w:t>
      </w:r>
      <w:r w:rsidRPr="00CA617A">
        <w:rPr>
          <w:rFonts w:cs="Arial"/>
          <w:sz w:val="16"/>
          <w:szCs w:val="16"/>
        </w:rPr>
        <w:t>)</w:t>
      </w:r>
      <w:r w:rsidR="00BE40FF" w:rsidRPr="00CA617A">
        <w:rPr>
          <w:rFonts w:cs="Arial"/>
          <w:sz w:val="16"/>
          <w:szCs w:val="16"/>
        </w:rPr>
        <w:t>.</w:t>
      </w:r>
    </w:p>
  </w:footnote>
  <w:footnote w:id="2">
    <w:p w14:paraId="50AD4FA8" w14:textId="48C2D62F" w:rsidR="002F0669" w:rsidRPr="00CA617A" w:rsidRDefault="002F0669">
      <w:pPr>
        <w:pStyle w:val="Notedebasdepage"/>
        <w:rPr>
          <w:rFonts w:cs="Arial"/>
          <w:sz w:val="16"/>
          <w:szCs w:val="16"/>
        </w:rPr>
      </w:pPr>
      <w:r w:rsidRPr="00CA617A">
        <w:rPr>
          <w:rStyle w:val="Appelnotedebasdep"/>
          <w:rFonts w:cs="Arial"/>
          <w:sz w:val="16"/>
          <w:szCs w:val="16"/>
        </w:rPr>
        <w:footnoteRef/>
      </w:r>
      <w:r w:rsidRPr="00CA617A">
        <w:rPr>
          <w:rFonts w:cs="Arial"/>
          <w:sz w:val="16"/>
          <w:szCs w:val="16"/>
        </w:rPr>
        <w:t xml:space="preserve"> </w:t>
      </w:r>
      <w:r w:rsidR="00BE40FF" w:rsidRPr="00CA617A">
        <w:rPr>
          <w:rFonts w:cs="Arial"/>
          <w:sz w:val="16"/>
          <w:szCs w:val="16"/>
        </w:rPr>
        <w:t>A</w:t>
      </w:r>
      <w:r w:rsidRPr="00CA617A">
        <w:rPr>
          <w:rFonts w:cs="Arial"/>
          <w:sz w:val="16"/>
          <w:szCs w:val="16"/>
        </w:rPr>
        <w:t>ussi appelé Port-a-</w:t>
      </w:r>
      <w:proofErr w:type="spellStart"/>
      <w:r w:rsidRPr="00CA617A">
        <w:rPr>
          <w:rFonts w:cs="Arial"/>
          <w:sz w:val="16"/>
          <w:szCs w:val="16"/>
        </w:rPr>
        <w:t>Cath</w:t>
      </w:r>
      <w:r w:rsidRPr="00CA617A">
        <w:rPr>
          <w:rFonts w:cs="Arial"/>
          <w:sz w:val="16"/>
          <w:szCs w:val="16"/>
          <w:vertAlign w:val="superscript"/>
        </w:rPr>
        <w:t>MC</w:t>
      </w:r>
      <w:proofErr w:type="spellEnd"/>
      <w:r w:rsidR="00BE40FF" w:rsidRPr="00CA617A">
        <w:rPr>
          <w:rFonts w:cs="Arial"/>
          <w:sz w:val="16"/>
          <w:szCs w:val="16"/>
        </w:rPr>
        <w:t>.</w:t>
      </w:r>
    </w:p>
  </w:footnote>
  <w:footnote w:id="3">
    <w:p w14:paraId="4D01DE8C" w14:textId="7A535F27" w:rsidR="002F0669" w:rsidRPr="00CA617A" w:rsidRDefault="002F0669">
      <w:pPr>
        <w:pStyle w:val="Notedebasdepage"/>
        <w:rPr>
          <w:rFonts w:cs="Arial"/>
          <w:sz w:val="16"/>
          <w:szCs w:val="16"/>
        </w:rPr>
      </w:pPr>
      <w:r w:rsidRPr="00CA617A">
        <w:rPr>
          <w:rStyle w:val="Appelnotedebasdep"/>
          <w:rFonts w:cs="Arial"/>
          <w:sz w:val="16"/>
          <w:szCs w:val="16"/>
        </w:rPr>
        <w:footnoteRef/>
      </w:r>
      <w:r w:rsidRPr="00CA617A">
        <w:rPr>
          <w:rFonts w:cs="Arial"/>
          <w:sz w:val="16"/>
          <w:szCs w:val="16"/>
        </w:rPr>
        <w:t xml:space="preserve"> </w:t>
      </w:r>
      <w:r w:rsidR="00BE40FF" w:rsidRPr="00CA617A">
        <w:rPr>
          <w:rFonts w:cs="Arial"/>
          <w:sz w:val="16"/>
          <w:szCs w:val="16"/>
        </w:rPr>
        <w:t>Y</w:t>
      </w:r>
      <w:r w:rsidRPr="00CA617A">
        <w:rPr>
          <w:rFonts w:cs="Arial"/>
          <w:sz w:val="16"/>
          <w:szCs w:val="16"/>
        </w:rPr>
        <w:t xml:space="preserve"> compris, par exemple, les cathéters de type </w:t>
      </w:r>
      <w:proofErr w:type="spellStart"/>
      <w:r w:rsidRPr="00CA617A">
        <w:rPr>
          <w:rFonts w:cs="Arial"/>
          <w:sz w:val="16"/>
          <w:szCs w:val="16"/>
        </w:rPr>
        <w:t>Hickman</w:t>
      </w:r>
      <w:r w:rsidRPr="00CA617A">
        <w:rPr>
          <w:rFonts w:cs="Arial"/>
          <w:sz w:val="16"/>
          <w:szCs w:val="16"/>
          <w:vertAlign w:val="superscript"/>
        </w:rPr>
        <w:t>MC</w:t>
      </w:r>
      <w:proofErr w:type="spellEnd"/>
      <w:r w:rsidR="006C2D16" w:rsidRPr="00CA617A">
        <w:rPr>
          <w:rFonts w:cs="Arial"/>
          <w:sz w:val="16"/>
          <w:szCs w:val="16"/>
        </w:rPr>
        <w:t xml:space="preserve"> ou</w:t>
      </w:r>
      <w:r w:rsidRPr="00CA617A">
        <w:rPr>
          <w:rFonts w:cs="Arial"/>
          <w:sz w:val="16"/>
          <w:szCs w:val="16"/>
        </w:rPr>
        <w:t xml:space="preserve"> </w:t>
      </w:r>
      <w:proofErr w:type="spellStart"/>
      <w:r w:rsidRPr="00CA617A">
        <w:rPr>
          <w:rFonts w:cs="Arial"/>
          <w:sz w:val="16"/>
          <w:szCs w:val="16"/>
        </w:rPr>
        <w:t>Broviac</w:t>
      </w:r>
      <w:r w:rsidRPr="00CA617A">
        <w:rPr>
          <w:rFonts w:cs="Arial"/>
          <w:sz w:val="16"/>
          <w:szCs w:val="16"/>
          <w:vertAlign w:val="superscript"/>
        </w:rPr>
        <w:t>MC</w:t>
      </w:r>
      <w:proofErr w:type="spellEnd"/>
      <w:r w:rsidR="00BE40FF" w:rsidRPr="00CA617A">
        <w:rPr>
          <w:rFonts w:cs="Arial"/>
          <w:sz w:val="16"/>
          <w:szCs w:val="16"/>
        </w:rPr>
        <w:t>.</w:t>
      </w:r>
    </w:p>
  </w:footnote>
  <w:footnote w:id="4">
    <w:p w14:paraId="48EA309F" w14:textId="16927252" w:rsidR="001B0E72" w:rsidRPr="002F0669" w:rsidRDefault="001B0E72" w:rsidP="001B0E72">
      <w:pPr>
        <w:pStyle w:val="Notedebasdepage"/>
        <w:spacing w:after="40"/>
        <w:ind w:left="142" w:hanging="142"/>
        <w:rPr>
          <w:rFonts w:ascii="Arial" w:hAnsi="Arial" w:cs="Arial"/>
          <w:sz w:val="16"/>
          <w:szCs w:val="16"/>
        </w:rPr>
      </w:pPr>
      <w:r w:rsidRPr="00CA617A">
        <w:rPr>
          <w:rStyle w:val="Appelnotedebasdep"/>
          <w:rFonts w:cs="Arial"/>
          <w:sz w:val="16"/>
          <w:szCs w:val="16"/>
        </w:rPr>
        <w:footnoteRef/>
      </w:r>
      <w:r w:rsidRPr="00CA617A">
        <w:rPr>
          <w:rFonts w:eastAsiaTheme="minorHAnsi" w:cs="Arial"/>
          <w:sz w:val="16"/>
          <w:szCs w:val="16"/>
        </w:rPr>
        <w:t xml:space="preserve"> </w:t>
      </w:r>
      <w:r w:rsidRPr="00CA617A">
        <w:rPr>
          <w:rFonts w:eastAsiaTheme="minorHAnsi" w:cs="Arial"/>
          <w:sz w:val="16"/>
          <w:szCs w:val="16"/>
          <w:lang w:val="fr-FR"/>
        </w:rPr>
        <w:t xml:space="preserve">Le professionnel ou la personne habilitée doit s'assurer d'avoir les compétences nécessaires </w:t>
      </w:r>
      <w:r w:rsidR="00BE40FF" w:rsidRPr="00CA617A">
        <w:rPr>
          <w:rFonts w:eastAsiaTheme="minorHAnsi" w:cs="Arial"/>
          <w:sz w:val="16"/>
          <w:szCs w:val="16"/>
          <w:lang w:val="fr-FR"/>
        </w:rPr>
        <w:t xml:space="preserve">pour </w:t>
      </w:r>
      <w:r w:rsidRPr="00CA617A">
        <w:rPr>
          <w:rFonts w:eastAsiaTheme="minorHAnsi" w:cs="Arial"/>
          <w:sz w:val="16"/>
          <w:szCs w:val="16"/>
          <w:lang w:val="fr-FR"/>
        </w:rPr>
        <w:t xml:space="preserve">exécuter </w:t>
      </w:r>
      <w:r w:rsidR="005A1D69" w:rsidRPr="00CA617A">
        <w:rPr>
          <w:rFonts w:eastAsiaTheme="minorHAnsi" w:cs="Arial"/>
          <w:sz w:val="16"/>
          <w:szCs w:val="16"/>
          <w:lang w:val="fr-FR"/>
        </w:rPr>
        <w:t xml:space="preserve">cette </w:t>
      </w:r>
      <w:r w:rsidRPr="00CA617A">
        <w:rPr>
          <w:rFonts w:eastAsiaTheme="minorHAnsi" w:cs="Arial"/>
          <w:sz w:val="16"/>
          <w:szCs w:val="16"/>
          <w:lang w:val="fr-FR"/>
        </w:rPr>
        <w:t>ordonnance (p.</w:t>
      </w:r>
      <w:r w:rsidR="00BE40FF" w:rsidRPr="00CA617A">
        <w:rPr>
          <w:rFonts w:eastAsiaTheme="minorHAnsi" w:cs="Arial"/>
          <w:sz w:val="16"/>
          <w:szCs w:val="16"/>
          <w:lang w:val="fr-FR"/>
        </w:rPr>
        <w:t> </w:t>
      </w:r>
      <w:r w:rsidRPr="00CA617A">
        <w:rPr>
          <w:rFonts w:eastAsiaTheme="minorHAnsi" w:cs="Arial"/>
          <w:sz w:val="16"/>
          <w:szCs w:val="16"/>
          <w:lang w:val="fr-FR"/>
        </w:rPr>
        <w:t>ex.</w:t>
      </w:r>
      <w:r w:rsidR="00BE40FF" w:rsidRPr="00CA617A">
        <w:rPr>
          <w:rFonts w:eastAsiaTheme="minorHAnsi" w:cs="Arial"/>
          <w:sz w:val="16"/>
          <w:szCs w:val="16"/>
          <w:lang w:val="fr-FR"/>
        </w:rPr>
        <w:t> </w:t>
      </w:r>
      <w:r w:rsidRPr="00CA617A">
        <w:rPr>
          <w:rFonts w:eastAsiaTheme="minorHAnsi" w:cs="Arial"/>
          <w:sz w:val="16"/>
          <w:szCs w:val="16"/>
          <w:lang w:val="fr-FR"/>
        </w:rPr>
        <w:t xml:space="preserve"> </w:t>
      </w:r>
      <w:r w:rsidR="005A1D69" w:rsidRPr="00CA617A">
        <w:rPr>
          <w:rFonts w:eastAsiaTheme="minorHAnsi" w:cs="Arial"/>
          <w:sz w:val="16"/>
          <w:szCs w:val="16"/>
          <w:lang w:val="fr-FR"/>
        </w:rPr>
        <w:t>f</w:t>
      </w:r>
      <w:r w:rsidRPr="00CA617A">
        <w:rPr>
          <w:rFonts w:eastAsiaTheme="minorHAnsi" w:cs="Arial"/>
          <w:sz w:val="16"/>
          <w:szCs w:val="16"/>
          <w:lang w:val="fr-FR"/>
        </w:rPr>
        <w:t>ormation)</w:t>
      </w:r>
      <w:r w:rsidR="00BE40FF" w:rsidRPr="00CA617A">
        <w:rPr>
          <w:rFonts w:eastAsiaTheme="minorHAnsi" w:cs="Arial"/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B1BC" w14:textId="77777777" w:rsidR="004F6E36" w:rsidRDefault="004F6E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7076" w14:textId="77777777" w:rsidR="004F6E36" w:rsidRDefault="004F6E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8845" w14:textId="6C168A1F" w:rsidR="00BC1D02" w:rsidRDefault="00BC1D02" w:rsidP="00BC1D02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4DB34954">
              <wp:simplePos x="0" y="0"/>
              <wp:positionH relativeFrom="column">
                <wp:posOffset>1918032</wp:posOffset>
              </wp:positionH>
              <wp:positionV relativeFrom="paragraph">
                <wp:posOffset>5080</wp:posOffset>
              </wp:positionV>
              <wp:extent cx="3522688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688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77777777" w:rsidR="00FF576D" w:rsidRPr="00EE4B86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EE4B86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COLLECTIVE</w:t>
                          </w:r>
                        </w:p>
                        <w:p w14:paraId="7F9A3456" w14:textId="2E8395DD" w:rsidR="00FF576D" w:rsidRPr="003658C4" w:rsidRDefault="00C21A7B" w:rsidP="007F4FC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Initier un t</w:t>
                          </w:r>
                          <w:r w:rsidR="00DE5839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raitement</w:t>
                          </w:r>
                          <w:r w:rsidR="007F4FC0" w:rsidRPr="007F4FC0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pharmacologique pour la désobstruction d’un dispositif d’accès veineux central </w:t>
                          </w:r>
                          <w:r w:rsidR="00BC1D02" w:rsidRPr="007F4FC0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 xml:space="preserve"> </w:t>
                          </w:r>
                          <w:r w:rsidR="007F4FC0" w:rsidRPr="007F4FC0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(DAVC)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6B6DA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51.05pt;margin-top:.4pt;width:277.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" filled="f" stroked="f" strokeweight=".5pt">
              <v:textbox>
                <w:txbxContent>
                  <w:p w14:paraId="474D67F6" w14:textId="77777777" w:rsidR="00FF576D" w:rsidRPr="00EE4B86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EE4B8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COLLECTIVE</w:t>
                    </w:r>
                  </w:p>
                  <w:p w14:paraId="7F9A3456" w14:textId="2E8395DD" w:rsidR="00FF576D" w:rsidRPr="003658C4" w:rsidRDefault="00C21A7B" w:rsidP="007F4FC0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Initier un t</w:t>
                    </w:r>
                    <w:r w:rsidR="00DE5839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raitement</w:t>
                    </w:r>
                    <w:r w:rsidR="007F4FC0" w:rsidRPr="007F4FC0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pharmacologique pour la désobstruction d’un dispositif d’accès veineux central </w:t>
                    </w:r>
                    <w:r w:rsidR="00BC1D02" w:rsidRPr="007F4FC0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 xml:space="preserve"> </w:t>
                    </w:r>
                    <w:r w:rsidR="007F4FC0" w:rsidRPr="007F4FC0"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(DAVC)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FD7945" wp14:editId="1B613B5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CFB3D" w14:textId="77777777" w:rsidR="00BC1D02" w:rsidRDefault="00BC1D02" w:rsidP="00BC1D02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D7945" id="Zone de texte 2" o:spid="_x0000_s1027" type="#_x0000_t202" style="position:absolute;left:0;text-align:left;margin-left:0;margin-top:-.05pt;width:131.95pt;height: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">
              <v:textbox>
                <w:txbxContent>
                  <w:p w14:paraId="0ABCFB3D" w14:textId="77777777" w:rsidR="00BC1D02" w:rsidRDefault="00BC1D02" w:rsidP="00BC1D02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</w:p>
  <w:p w14:paraId="7BFD9C16" w14:textId="2300ADC1" w:rsidR="00FF576D" w:rsidRDefault="00BC1D02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3A8A3C8C">
              <wp:simplePos x="0" y="0"/>
              <wp:positionH relativeFrom="column">
                <wp:posOffset>5441874</wp:posOffset>
              </wp:positionH>
              <wp:positionV relativeFrom="paragraph">
                <wp:posOffset>131445</wp:posOffset>
              </wp:positionV>
              <wp:extent cx="818866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866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7DE51EA7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BC1D02">
                            <w:rPr>
                              <w:b/>
                              <w:sz w:val="18"/>
                              <w:szCs w:val="18"/>
                            </w:rPr>
                            <w:t>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9A32F" id="Zone de texte 20" o:spid="_x0000_s1028" type="#_x0000_t202" style="position:absolute;left:0;text-align:left;margin-left:428.5pt;margin-top:10.35pt;width:64.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" filled="f" stroked="f" strokeweight=".5pt">
              <v:textbox>
                <w:txbxContent>
                  <w:p w14:paraId="38B635C2" w14:textId="7DE51EA7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BC1D02">
                      <w:rPr>
                        <w:b/>
                        <w:sz w:val="18"/>
                        <w:szCs w:val="18"/>
                      </w:rPr>
                      <w:t>XXXXXX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452"/>
    <w:multiLevelType w:val="hybridMultilevel"/>
    <w:tmpl w:val="D25C99F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739"/>
    <w:multiLevelType w:val="hybridMultilevel"/>
    <w:tmpl w:val="40BCCCEC"/>
    <w:lvl w:ilvl="0" w:tplc="81D2D3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40F"/>
    <w:multiLevelType w:val="hybridMultilevel"/>
    <w:tmpl w:val="FB8842A0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7300509A">
      <w:numFmt w:val="bullet"/>
      <w:lvlText w:val="•"/>
      <w:lvlJc w:val="left"/>
      <w:pPr>
        <w:ind w:left="1440" w:hanging="360"/>
      </w:pPr>
      <w:rPr>
        <w:rFonts w:ascii="Arial Narrow" w:eastAsiaTheme="majorEastAsia" w:hAnsi="Arial Narrow" w:cstheme="maj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2828"/>
    <w:multiLevelType w:val="hybridMultilevel"/>
    <w:tmpl w:val="80BAF110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0178"/>
    <w:multiLevelType w:val="hybridMultilevel"/>
    <w:tmpl w:val="F6747C5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62B"/>
    <w:multiLevelType w:val="hybridMultilevel"/>
    <w:tmpl w:val="CFD6EB9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7976720"/>
    <w:multiLevelType w:val="hybridMultilevel"/>
    <w:tmpl w:val="1E400656"/>
    <w:lvl w:ilvl="0" w:tplc="04B88A64">
      <w:start w:val="1"/>
      <w:numFmt w:val="bullet"/>
      <w:lvlText w:val=""/>
      <w:lvlJc w:val="left"/>
      <w:pPr>
        <w:ind w:left="1627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6D510B"/>
    <w:multiLevelType w:val="hybridMultilevel"/>
    <w:tmpl w:val="9C9CBBF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1492"/>
    <w:multiLevelType w:val="hybridMultilevel"/>
    <w:tmpl w:val="B874DB2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13D03D3"/>
    <w:multiLevelType w:val="hybridMultilevel"/>
    <w:tmpl w:val="AAEE089A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3474E1"/>
    <w:multiLevelType w:val="hybridMultilevel"/>
    <w:tmpl w:val="1F729FF0"/>
    <w:lvl w:ilvl="0" w:tplc="3032473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20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D46A1"/>
    <w:multiLevelType w:val="hybridMultilevel"/>
    <w:tmpl w:val="9E9EBDD6"/>
    <w:lvl w:ilvl="0" w:tplc="2EDAE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A68E8"/>
    <w:multiLevelType w:val="hybridMultilevel"/>
    <w:tmpl w:val="A702A12E"/>
    <w:lvl w:ilvl="0" w:tplc="430A44C4">
      <w:start w:val="1"/>
      <w:numFmt w:val="bullet"/>
      <w:lvlText w:val="►"/>
      <w:lvlJc w:val="left"/>
      <w:pPr>
        <w:ind w:left="1077" w:hanging="360"/>
      </w:pPr>
      <w:rPr>
        <w:rFonts w:ascii="Arial" w:hAnsi="Aria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5F56CF8"/>
    <w:multiLevelType w:val="hybridMultilevel"/>
    <w:tmpl w:val="8D8E200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15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6902C7F"/>
    <w:multiLevelType w:val="hybridMultilevel"/>
    <w:tmpl w:val="4E40741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D5F1C"/>
    <w:multiLevelType w:val="multilevel"/>
    <w:tmpl w:val="DF94D3BA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0" w:firstLine="0"/>
      </w:pPr>
      <w:rPr>
        <w:rFonts w:hint="default"/>
        <w:color w:val="4C4D4C"/>
      </w:rPr>
    </w:lvl>
    <w:lvl w:ilvl="1">
      <w:start w:val="2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7"/>
        <w:szCs w:val="27"/>
        <w:u w:val="none"/>
        <w:vertAlign w:val="baseline"/>
        <w:em w:val="none"/>
      </w:rPr>
    </w:lvl>
    <w:lvl w:ilvl="2">
      <w:start w:val="1"/>
      <w:numFmt w:val="decimal"/>
      <w:pStyle w:val="Titre32012"/>
      <w:lvlText w:val="%1.%2.%3"/>
      <w:lvlJc w:val="left"/>
      <w:pPr>
        <w:tabs>
          <w:tab w:val="num" w:pos="2949"/>
        </w:tabs>
        <w:ind w:left="2269" w:firstLine="0"/>
      </w:pPr>
      <w:rPr>
        <w:rFonts w:ascii="Century Gothic" w:hAnsi="Century Gothic" w:hint="default"/>
        <w:b/>
        <w:bCs/>
        <w:i w:val="0"/>
        <w:iCs w:val="0"/>
        <w:caps w:val="0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979"/>
        </w:tabs>
        <w:ind w:left="2128" w:firstLine="0"/>
      </w:pPr>
      <w:rPr>
        <w:rFonts w:ascii="Century Gothic" w:hAnsi="Century Gothic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127"/>
        </w:tabs>
        <w:ind w:left="426" w:firstLine="567"/>
      </w:pPr>
      <w:rPr>
        <w:rFonts w:ascii="Century Gothic" w:hAnsi="Century Gothic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-1367"/>
        </w:tabs>
        <w:ind w:left="-1367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-1223"/>
        </w:tabs>
        <w:ind w:left="-12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-1079"/>
        </w:tabs>
        <w:ind w:left="-1079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-935"/>
        </w:tabs>
        <w:ind w:left="-935" w:hanging="1584"/>
      </w:pPr>
      <w:rPr>
        <w:rFonts w:hint="default"/>
      </w:rPr>
    </w:lvl>
  </w:abstractNum>
  <w:abstractNum w:abstractNumId="26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D8E68CE"/>
    <w:multiLevelType w:val="hybridMultilevel"/>
    <w:tmpl w:val="F4CE3C14"/>
    <w:lvl w:ilvl="0" w:tplc="04B88A64">
      <w:start w:val="1"/>
      <w:numFmt w:val="bullet"/>
      <w:lvlText w:val=""/>
      <w:lvlJc w:val="left"/>
      <w:pPr>
        <w:ind w:left="1627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6C1C31E8"/>
    <w:multiLevelType w:val="hybridMultilevel"/>
    <w:tmpl w:val="4B6CC530"/>
    <w:lvl w:ilvl="0" w:tplc="6C08F7D0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3A8"/>
    <w:multiLevelType w:val="hybridMultilevel"/>
    <w:tmpl w:val="D1A651C2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0"/>
  </w:num>
  <w:num w:numId="7">
    <w:abstractNumId w:val="26"/>
  </w:num>
  <w:num w:numId="8">
    <w:abstractNumId w:val="19"/>
  </w:num>
  <w:num w:numId="9">
    <w:abstractNumId w:val="5"/>
  </w:num>
  <w:num w:numId="10">
    <w:abstractNumId w:val="32"/>
  </w:num>
  <w:num w:numId="11">
    <w:abstractNumId w:val="30"/>
  </w:num>
  <w:num w:numId="12">
    <w:abstractNumId w:val="31"/>
  </w:num>
  <w:num w:numId="13">
    <w:abstractNumId w:val="1"/>
  </w:num>
  <w:num w:numId="14">
    <w:abstractNumId w:val="8"/>
  </w:num>
  <w:num w:numId="15">
    <w:abstractNumId w:val="33"/>
  </w:num>
  <w:num w:numId="16">
    <w:abstractNumId w:val="20"/>
  </w:num>
  <w:num w:numId="17">
    <w:abstractNumId w:val="29"/>
  </w:num>
  <w:num w:numId="18">
    <w:abstractNumId w:val="27"/>
  </w:num>
  <w:num w:numId="19">
    <w:abstractNumId w:val="17"/>
  </w:num>
  <w:num w:numId="20">
    <w:abstractNumId w:val="13"/>
  </w:num>
  <w:num w:numId="21">
    <w:abstractNumId w:val="3"/>
  </w:num>
  <w:num w:numId="22">
    <w:abstractNumId w:val="2"/>
  </w:num>
  <w:num w:numId="23">
    <w:abstractNumId w:val="21"/>
  </w:num>
  <w:num w:numId="24">
    <w:abstractNumId w:val="4"/>
  </w:num>
  <w:num w:numId="25">
    <w:abstractNumId w:val="14"/>
  </w:num>
  <w:num w:numId="26">
    <w:abstractNumId w:val="22"/>
  </w:num>
  <w:num w:numId="27">
    <w:abstractNumId w:val="9"/>
  </w:num>
  <w:num w:numId="28">
    <w:abstractNumId w:val="16"/>
  </w:num>
  <w:num w:numId="29">
    <w:abstractNumId w:val="23"/>
  </w:num>
  <w:num w:numId="30">
    <w:abstractNumId w:val="25"/>
  </w:num>
  <w:num w:numId="31">
    <w:abstractNumId w:val="18"/>
  </w:num>
  <w:num w:numId="32">
    <w:abstractNumId w:val="24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6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35BA"/>
    <w:rsid w:val="0001140D"/>
    <w:rsid w:val="00050F70"/>
    <w:rsid w:val="00054083"/>
    <w:rsid w:val="00071E96"/>
    <w:rsid w:val="000777A9"/>
    <w:rsid w:val="000831D9"/>
    <w:rsid w:val="00084688"/>
    <w:rsid w:val="000A2195"/>
    <w:rsid w:val="000A4939"/>
    <w:rsid w:val="000B5B7A"/>
    <w:rsid w:val="000E4964"/>
    <w:rsid w:val="000F48E2"/>
    <w:rsid w:val="00113272"/>
    <w:rsid w:val="00126F4B"/>
    <w:rsid w:val="00144DFB"/>
    <w:rsid w:val="00171D24"/>
    <w:rsid w:val="00175D2D"/>
    <w:rsid w:val="00181688"/>
    <w:rsid w:val="00184A38"/>
    <w:rsid w:val="001871FD"/>
    <w:rsid w:val="001A345B"/>
    <w:rsid w:val="001A53FC"/>
    <w:rsid w:val="001A66CA"/>
    <w:rsid w:val="001A7777"/>
    <w:rsid w:val="001A7B04"/>
    <w:rsid w:val="001B0E72"/>
    <w:rsid w:val="001B260F"/>
    <w:rsid w:val="001D039D"/>
    <w:rsid w:val="001F0FF6"/>
    <w:rsid w:val="00213226"/>
    <w:rsid w:val="00227666"/>
    <w:rsid w:val="00253410"/>
    <w:rsid w:val="002861E0"/>
    <w:rsid w:val="00290789"/>
    <w:rsid w:val="002C5A13"/>
    <w:rsid w:val="002D4487"/>
    <w:rsid w:val="002D4CE1"/>
    <w:rsid w:val="002F0669"/>
    <w:rsid w:val="00334420"/>
    <w:rsid w:val="00334660"/>
    <w:rsid w:val="00355257"/>
    <w:rsid w:val="003644E3"/>
    <w:rsid w:val="003658C4"/>
    <w:rsid w:val="00371EF7"/>
    <w:rsid w:val="00396F31"/>
    <w:rsid w:val="003A080F"/>
    <w:rsid w:val="003C006E"/>
    <w:rsid w:val="003D3A87"/>
    <w:rsid w:val="004071C4"/>
    <w:rsid w:val="004214C1"/>
    <w:rsid w:val="004333C3"/>
    <w:rsid w:val="00435BB0"/>
    <w:rsid w:val="0045760E"/>
    <w:rsid w:val="00484DBD"/>
    <w:rsid w:val="00496076"/>
    <w:rsid w:val="004A76AC"/>
    <w:rsid w:val="004D6CB1"/>
    <w:rsid w:val="004F6E36"/>
    <w:rsid w:val="004F771E"/>
    <w:rsid w:val="0050478A"/>
    <w:rsid w:val="00596D82"/>
    <w:rsid w:val="005A1D69"/>
    <w:rsid w:val="005A6B3A"/>
    <w:rsid w:val="005B1881"/>
    <w:rsid w:val="005B5307"/>
    <w:rsid w:val="005E2752"/>
    <w:rsid w:val="00610646"/>
    <w:rsid w:val="00617F81"/>
    <w:rsid w:val="00651D25"/>
    <w:rsid w:val="00671FEB"/>
    <w:rsid w:val="00676C32"/>
    <w:rsid w:val="0068331F"/>
    <w:rsid w:val="006C2D16"/>
    <w:rsid w:val="006C4F4F"/>
    <w:rsid w:val="006D4E04"/>
    <w:rsid w:val="006F18E9"/>
    <w:rsid w:val="00700948"/>
    <w:rsid w:val="007340BF"/>
    <w:rsid w:val="00753806"/>
    <w:rsid w:val="0076363A"/>
    <w:rsid w:val="00765929"/>
    <w:rsid w:val="007701B2"/>
    <w:rsid w:val="00790B41"/>
    <w:rsid w:val="00795A37"/>
    <w:rsid w:val="007A0A29"/>
    <w:rsid w:val="007B3B80"/>
    <w:rsid w:val="007C547F"/>
    <w:rsid w:val="007F4FC0"/>
    <w:rsid w:val="008002C5"/>
    <w:rsid w:val="00833B06"/>
    <w:rsid w:val="00874D78"/>
    <w:rsid w:val="0088583A"/>
    <w:rsid w:val="008A63DF"/>
    <w:rsid w:val="008B64C2"/>
    <w:rsid w:val="008E1C24"/>
    <w:rsid w:val="00924CF5"/>
    <w:rsid w:val="00936DB5"/>
    <w:rsid w:val="0095430B"/>
    <w:rsid w:val="00955D90"/>
    <w:rsid w:val="00972BB1"/>
    <w:rsid w:val="00993FCA"/>
    <w:rsid w:val="00A16D75"/>
    <w:rsid w:val="00A22AC3"/>
    <w:rsid w:val="00A25493"/>
    <w:rsid w:val="00A25E84"/>
    <w:rsid w:val="00A60185"/>
    <w:rsid w:val="00A86267"/>
    <w:rsid w:val="00A9665F"/>
    <w:rsid w:val="00A96750"/>
    <w:rsid w:val="00A9758B"/>
    <w:rsid w:val="00A97861"/>
    <w:rsid w:val="00AA30E4"/>
    <w:rsid w:val="00AA35C7"/>
    <w:rsid w:val="00AA7176"/>
    <w:rsid w:val="00AC038D"/>
    <w:rsid w:val="00AD47A8"/>
    <w:rsid w:val="00AF19E9"/>
    <w:rsid w:val="00AF4DA0"/>
    <w:rsid w:val="00B01DD3"/>
    <w:rsid w:val="00B05234"/>
    <w:rsid w:val="00B14BA7"/>
    <w:rsid w:val="00B347DA"/>
    <w:rsid w:val="00B50278"/>
    <w:rsid w:val="00B5174A"/>
    <w:rsid w:val="00B61944"/>
    <w:rsid w:val="00B765EB"/>
    <w:rsid w:val="00BA7B7D"/>
    <w:rsid w:val="00BA7F06"/>
    <w:rsid w:val="00BC1D02"/>
    <w:rsid w:val="00BD4251"/>
    <w:rsid w:val="00BE40FF"/>
    <w:rsid w:val="00BE4D04"/>
    <w:rsid w:val="00C07792"/>
    <w:rsid w:val="00C21A7B"/>
    <w:rsid w:val="00C54595"/>
    <w:rsid w:val="00C56803"/>
    <w:rsid w:val="00C60EFD"/>
    <w:rsid w:val="00C63B6F"/>
    <w:rsid w:val="00C67722"/>
    <w:rsid w:val="00C735AF"/>
    <w:rsid w:val="00C73AFA"/>
    <w:rsid w:val="00C819B9"/>
    <w:rsid w:val="00CA617A"/>
    <w:rsid w:val="00CC1591"/>
    <w:rsid w:val="00CD37C5"/>
    <w:rsid w:val="00CF3A3D"/>
    <w:rsid w:val="00D11A0F"/>
    <w:rsid w:val="00D21A05"/>
    <w:rsid w:val="00D21EAD"/>
    <w:rsid w:val="00D425BA"/>
    <w:rsid w:val="00D510A0"/>
    <w:rsid w:val="00DE5839"/>
    <w:rsid w:val="00E06A8E"/>
    <w:rsid w:val="00E13D39"/>
    <w:rsid w:val="00E469E2"/>
    <w:rsid w:val="00E547B4"/>
    <w:rsid w:val="00EE3DE5"/>
    <w:rsid w:val="00EE4B86"/>
    <w:rsid w:val="00EE51BD"/>
    <w:rsid w:val="00F040E9"/>
    <w:rsid w:val="00F3746E"/>
    <w:rsid w:val="00F5327C"/>
    <w:rsid w:val="00F64263"/>
    <w:rsid w:val="00FA2C8D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D214CD"/>
  <w15:docId w15:val="{A0574A72-B70A-4B18-B8D0-6625657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styleId="Titre1">
    <w:name w:val="heading 1"/>
    <w:aliases w:val="Titre 1_2012"/>
    <w:basedOn w:val="Normal"/>
    <w:next w:val="Normal"/>
    <w:link w:val="Titre1Car"/>
    <w:qFormat/>
    <w:rsid w:val="00AD47A8"/>
    <w:pPr>
      <w:keepNext/>
      <w:pageBreakBefore/>
      <w:numPr>
        <w:numId w:val="30"/>
      </w:numPr>
      <w:pBdr>
        <w:top w:val="single" w:sz="18" w:space="5" w:color="auto"/>
        <w:bottom w:val="single" w:sz="18" w:space="5" w:color="auto"/>
      </w:pBdr>
      <w:spacing w:after="480" w:line="240" w:lineRule="auto"/>
      <w:outlineLvl w:val="0"/>
    </w:pPr>
    <w:rPr>
      <w:rFonts w:ascii="Century Gothic" w:eastAsia="Times New Roman" w:hAnsi="Century Gothic" w:cs="Arial"/>
      <w:b/>
      <w:bCs/>
      <w:caps/>
      <w:color w:val="4C4D4C"/>
      <w:spacing w:val="20"/>
      <w:kern w:val="32"/>
      <w:sz w:val="36"/>
      <w:szCs w:val="36"/>
      <w:lang w:eastAsia="fr-CA"/>
    </w:rPr>
  </w:style>
  <w:style w:type="paragraph" w:styleId="Titre2">
    <w:name w:val="heading 2"/>
    <w:aliases w:val="Titre 2_2012"/>
    <w:next w:val="Normal"/>
    <w:link w:val="Titre2Car"/>
    <w:uiPriority w:val="9"/>
    <w:qFormat/>
    <w:rsid w:val="00AD47A8"/>
    <w:pPr>
      <w:keepNext/>
      <w:numPr>
        <w:ilvl w:val="1"/>
        <w:numId w:val="30"/>
      </w:numPr>
      <w:spacing w:before="360" w:after="120" w:line="240" w:lineRule="auto"/>
      <w:outlineLvl w:val="1"/>
    </w:pPr>
    <w:rPr>
      <w:rFonts w:ascii="Century Gothic" w:eastAsia="Times New Roman" w:hAnsi="Century Gothic" w:cs="Arial"/>
      <w:b/>
      <w:color w:val="4C4D4C"/>
      <w:sz w:val="27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47A8"/>
    <w:pPr>
      <w:keepNext/>
      <w:keepLines/>
      <w:spacing w:before="40" w:after="0"/>
      <w:outlineLvl w:val="2"/>
    </w:pPr>
    <w:rPr>
      <w:rFonts w:asciiTheme="majorHAnsi" w:hAnsiTheme="majorHAnsi"/>
      <w:color w:val="243F60" w:themeColor="accent1" w:themeShade="7F"/>
      <w:sz w:val="24"/>
      <w:szCs w:val="24"/>
    </w:rPr>
  </w:style>
  <w:style w:type="paragraph" w:styleId="Titre4">
    <w:name w:val="heading 4"/>
    <w:aliases w:val="Titre 4_2012"/>
    <w:next w:val="Normal"/>
    <w:link w:val="Titre4Car"/>
    <w:qFormat/>
    <w:rsid w:val="00AD47A8"/>
    <w:pPr>
      <w:keepNext/>
      <w:numPr>
        <w:ilvl w:val="3"/>
        <w:numId w:val="30"/>
      </w:numPr>
      <w:spacing w:before="240" w:after="120" w:line="240" w:lineRule="auto"/>
      <w:outlineLvl w:val="3"/>
    </w:pPr>
    <w:rPr>
      <w:rFonts w:ascii="Century Gothic" w:eastAsia="Times New Roman" w:hAnsi="Century Gothic" w:cs="Times New Roman"/>
      <w:b/>
      <w:bCs/>
      <w:color w:val="4C4D4C"/>
      <w:szCs w:val="28"/>
    </w:rPr>
  </w:style>
  <w:style w:type="paragraph" w:styleId="Titre5">
    <w:name w:val="heading 5"/>
    <w:aliases w:val="Titre 5_2012"/>
    <w:next w:val="Normal"/>
    <w:link w:val="Titre5Car"/>
    <w:qFormat/>
    <w:rsid w:val="00AD47A8"/>
    <w:pPr>
      <w:numPr>
        <w:ilvl w:val="4"/>
        <w:numId w:val="30"/>
      </w:numPr>
      <w:spacing w:before="240" w:after="120" w:line="240" w:lineRule="auto"/>
      <w:outlineLvl w:val="4"/>
    </w:pPr>
    <w:rPr>
      <w:rFonts w:ascii="Century Gothic" w:eastAsia="Times New Roman" w:hAnsi="Century Gothic" w:cs="Times New Roman"/>
      <w:bCs/>
      <w:iCs/>
      <w:color w:val="4C4D4C"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AD47A8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fr-CA"/>
    </w:rPr>
  </w:style>
  <w:style w:type="paragraph" w:styleId="Titre7">
    <w:name w:val="heading 7"/>
    <w:basedOn w:val="Normal"/>
    <w:next w:val="Normal"/>
    <w:link w:val="Titre7Car"/>
    <w:qFormat/>
    <w:rsid w:val="00AD47A8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2"/>
      <w:szCs w:val="24"/>
      <w:lang w:eastAsia="fr-CA"/>
    </w:rPr>
  </w:style>
  <w:style w:type="paragraph" w:styleId="Titre8">
    <w:name w:val="heading 8"/>
    <w:basedOn w:val="Normal"/>
    <w:next w:val="Normal"/>
    <w:link w:val="Titre8Car"/>
    <w:qFormat/>
    <w:rsid w:val="00AD47A8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2"/>
      <w:szCs w:val="24"/>
      <w:lang w:eastAsia="fr-CA"/>
    </w:rPr>
  </w:style>
  <w:style w:type="paragraph" w:styleId="Titre9">
    <w:name w:val="heading 9"/>
    <w:basedOn w:val="Normal"/>
    <w:next w:val="Normal"/>
    <w:link w:val="Titre9Car"/>
    <w:uiPriority w:val="9"/>
    <w:qFormat/>
    <w:rsid w:val="00AD47A8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table" w:customStyle="1" w:styleId="TableauGrille4-Accentuation31">
    <w:name w:val="Tableau Grille 4 - Accentuation 31"/>
    <w:basedOn w:val="TableauNormal"/>
    <w:uiPriority w:val="49"/>
    <w:rsid w:val="00BA7B7D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re1Car">
    <w:name w:val="Titre 1 Car"/>
    <w:aliases w:val="Titre 1_2012 Car"/>
    <w:basedOn w:val="Policepardfaut"/>
    <w:link w:val="Titre1"/>
    <w:rsid w:val="00AD47A8"/>
    <w:rPr>
      <w:rFonts w:ascii="Century Gothic" w:eastAsia="Times New Roman" w:hAnsi="Century Gothic" w:cs="Arial"/>
      <w:b/>
      <w:bCs/>
      <w:caps/>
      <w:color w:val="4C4D4C"/>
      <w:spacing w:val="20"/>
      <w:kern w:val="32"/>
      <w:sz w:val="36"/>
      <w:szCs w:val="36"/>
    </w:rPr>
  </w:style>
  <w:style w:type="character" w:customStyle="1" w:styleId="Titre2Car">
    <w:name w:val="Titre 2 Car"/>
    <w:aliases w:val="Titre 2_2012 Car"/>
    <w:basedOn w:val="Policepardfaut"/>
    <w:link w:val="Titre2"/>
    <w:uiPriority w:val="9"/>
    <w:rsid w:val="00AD47A8"/>
    <w:rPr>
      <w:rFonts w:ascii="Century Gothic" w:eastAsia="Times New Roman" w:hAnsi="Century Gothic" w:cs="Arial"/>
      <w:b/>
      <w:color w:val="4C4D4C"/>
      <w:sz w:val="27"/>
      <w:szCs w:val="28"/>
    </w:rPr>
  </w:style>
  <w:style w:type="character" w:customStyle="1" w:styleId="Titre4Car">
    <w:name w:val="Titre 4 Car"/>
    <w:aliases w:val="Titre 4_2012 Car"/>
    <w:basedOn w:val="Policepardfaut"/>
    <w:link w:val="Titre4"/>
    <w:rsid w:val="00AD47A8"/>
    <w:rPr>
      <w:rFonts w:ascii="Century Gothic" w:eastAsia="Times New Roman" w:hAnsi="Century Gothic" w:cs="Times New Roman"/>
      <w:b/>
      <w:bCs/>
      <w:color w:val="4C4D4C"/>
      <w:szCs w:val="28"/>
    </w:rPr>
  </w:style>
  <w:style w:type="character" w:customStyle="1" w:styleId="Titre5Car">
    <w:name w:val="Titre 5 Car"/>
    <w:aliases w:val="Titre 5_2012 Car"/>
    <w:basedOn w:val="Policepardfaut"/>
    <w:link w:val="Titre5"/>
    <w:rsid w:val="00AD47A8"/>
    <w:rPr>
      <w:rFonts w:ascii="Century Gothic" w:eastAsia="Times New Roman" w:hAnsi="Century Gothic" w:cs="Times New Roman"/>
      <w:bCs/>
      <w:iCs/>
      <w:color w:val="4C4D4C"/>
      <w:sz w:val="20"/>
      <w:szCs w:val="26"/>
    </w:rPr>
  </w:style>
  <w:style w:type="character" w:customStyle="1" w:styleId="Titre6Car">
    <w:name w:val="Titre 6 Car"/>
    <w:basedOn w:val="Policepardfaut"/>
    <w:link w:val="Titre6"/>
    <w:rsid w:val="00AD47A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rsid w:val="00AD47A8"/>
    <w:rPr>
      <w:rFonts w:ascii="Calibri" w:eastAsia="Times New Roman" w:hAnsi="Calibri" w:cs="Times New Roman"/>
      <w:szCs w:val="24"/>
    </w:rPr>
  </w:style>
  <w:style w:type="character" w:customStyle="1" w:styleId="Titre8Car">
    <w:name w:val="Titre 8 Car"/>
    <w:basedOn w:val="Policepardfaut"/>
    <w:link w:val="Titre8"/>
    <w:rsid w:val="00AD47A8"/>
    <w:rPr>
      <w:rFonts w:ascii="Calibri" w:eastAsia="Times New Roman" w:hAnsi="Calibri" w:cs="Times New Roman"/>
      <w:i/>
      <w:iCs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AD47A8"/>
    <w:rPr>
      <w:rFonts w:ascii="Arial" w:eastAsia="Times New Roman" w:hAnsi="Arial" w:cs="Arial"/>
    </w:rPr>
  </w:style>
  <w:style w:type="paragraph" w:customStyle="1" w:styleId="Titre32012">
    <w:name w:val="Titre 3_2012"/>
    <w:basedOn w:val="Titre3"/>
    <w:qFormat/>
    <w:rsid w:val="00AD47A8"/>
    <w:pPr>
      <w:keepLines w:val="0"/>
      <w:numPr>
        <w:ilvl w:val="2"/>
        <w:numId w:val="30"/>
      </w:numPr>
      <w:tabs>
        <w:tab w:val="clear" w:pos="2949"/>
      </w:tabs>
      <w:spacing w:before="360" w:after="120" w:line="240" w:lineRule="auto"/>
      <w:ind w:left="720" w:hanging="720"/>
    </w:pPr>
    <w:rPr>
      <w:rFonts w:ascii="Century Gothic" w:eastAsia="Times New Roman" w:hAnsi="Century Gothic" w:cs="Arial"/>
      <w:b/>
      <w:bCs/>
      <w:color w:val="4C4D4C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D47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A61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sss.qc.ca/thematiques/medicaments/protocoles-medicaux-nationaux-et-ordonnances-associe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17AA-DA1D-4D6C-8A9C-4DB764B4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Ordonance collective - DAVC</dc:title>
  <dc:creator>GG</dc:creator>
  <cp:lastModifiedBy>Renée Latulippe</cp:lastModifiedBy>
  <cp:revision>6</cp:revision>
  <cp:lastPrinted>2019-12-12T18:42:00Z</cp:lastPrinted>
  <dcterms:created xsi:type="dcterms:W3CDTF">2021-03-03T13:33:00Z</dcterms:created>
  <dcterms:modified xsi:type="dcterms:W3CDTF">2021-04-29T16:07:00Z</dcterms:modified>
</cp:coreProperties>
</file>